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8E" w:rsidRDefault="00A5458E" w:rsidP="00A5458E">
      <w:pPr>
        <w:rPr>
          <w:snapToGrid w:val="0"/>
          <w:szCs w:val="18"/>
        </w:rPr>
      </w:pPr>
      <w:r w:rsidRPr="008C33D1">
        <w:rPr>
          <w:b/>
          <w:snapToGrid w:val="0"/>
          <w:szCs w:val="18"/>
        </w:rPr>
        <w:t>Фамилия, имя переводчика</w:t>
      </w:r>
      <w:r>
        <w:rPr>
          <w:snapToGrid w:val="0"/>
          <w:szCs w:val="18"/>
        </w:rPr>
        <w:t xml:space="preserve"> ________________________</w:t>
      </w:r>
    </w:p>
    <w:p w:rsidR="00A5458E" w:rsidRDefault="00A5458E" w:rsidP="00A5458E">
      <w:pPr>
        <w:rPr>
          <w:snapToGrid w:val="0"/>
          <w:szCs w:val="18"/>
        </w:rPr>
      </w:pPr>
    </w:p>
    <w:p w:rsidR="00A5458E" w:rsidRPr="00A5458E" w:rsidRDefault="00A5458E" w:rsidP="00A5458E">
      <w:pPr>
        <w:rPr>
          <w:i/>
          <w:snapToGrid w:val="0"/>
          <w:szCs w:val="18"/>
        </w:rPr>
      </w:pPr>
      <w:r w:rsidRPr="00A5458E">
        <w:rPr>
          <w:b/>
          <w:snapToGrid w:val="0"/>
          <w:szCs w:val="18"/>
        </w:rPr>
        <w:t>Направление перевода:</w:t>
      </w:r>
      <w:r>
        <w:rPr>
          <w:snapToGrid w:val="0"/>
          <w:szCs w:val="18"/>
        </w:rPr>
        <w:t xml:space="preserve"> </w:t>
      </w:r>
      <w:r w:rsidRPr="00A5458E">
        <w:rPr>
          <w:i/>
          <w:snapToGrid w:val="0"/>
          <w:szCs w:val="18"/>
        </w:rPr>
        <w:t>Английски</w:t>
      </w:r>
      <w:proofErr w:type="gramStart"/>
      <w:r w:rsidRPr="00A5458E">
        <w:rPr>
          <w:i/>
          <w:snapToGrid w:val="0"/>
          <w:szCs w:val="18"/>
        </w:rPr>
        <w:t>й-</w:t>
      </w:r>
      <w:proofErr w:type="gramEnd"/>
      <w:r w:rsidRPr="00A5458E">
        <w:rPr>
          <w:i/>
          <w:snapToGrid w:val="0"/>
          <w:szCs w:val="18"/>
          <w:lang w:val="en-US"/>
        </w:rPr>
        <w:t>&gt;</w:t>
      </w:r>
      <w:r w:rsidRPr="00A5458E">
        <w:rPr>
          <w:i/>
          <w:snapToGrid w:val="0"/>
          <w:szCs w:val="18"/>
        </w:rPr>
        <w:t>русский</w:t>
      </w:r>
    </w:p>
    <w:p w:rsidR="00A5458E" w:rsidRPr="0027671F" w:rsidRDefault="00A5458E" w:rsidP="00A5458E">
      <w:pPr>
        <w:rPr>
          <w:rStyle w:val="a4"/>
          <w:rFonts w:cs="Arial"/>
          <w:bCs/>
          <w:i/>
          <w:szCs w:val="20"/>
        </w:rPr>
      </w:pPr>
    </w:p>
    <w:p w:rsidR="00A5458E" w:rsidRPr="009D6F83" w:rsidRDefault="00A5458E" w:rsidP="00A5458E">
      <w:pPr>
        <w:rPr>
          <w:rFonts w:cs="Arial"/>
          <w:szCs w:val="20"/>
        </w:rPr>
      </w:pPr>
      <w:r w:rsidRPr="009D6F83">
        <w:rPr>
          <w:rFonts w:cs="Arial"/>
          <w:b/>
          <w:i/>
          <w:szCs w:val="20"/>
        </w:rPr>
        <w:t>Примечание 1:</w:t>
      </w:r>
      <w:r w:rsidRPr="009D6F83">
        <w:rPr>
          <w:rFonts w:cs="Arial"/>
          <w:i/>
          <w:szCs w:val="20"/>
        </w:rPr>
        <w:t xml:space="preserve"> Необходимо сделать перевод приведенного ниже фрагмента текста</w:t>
      </w:r>
    </w:p>
    <w:p w:rsidR="00A5458E" w:rsidRPr="009D6F83" w:rsidRDefault="00A5458E" w:rsidP="00A5458E">
      <w:pPr>
        <w:rPr>
          <w:rFonts w:cs="Arial"/>
          <w:snapToGrid w:val="0"/>
          <w:szCs w:val="20"/>
        </w:rPr>
      </w:pPr>
      <w:r w:rsidRPr="009D6F83">
        <w:rPr>
          <w:rFonts w:cs="Arial"/>
          <w:b/>
          <w:i/>
          <w:szCs w:val="20"/>
        </w:rPr>
        <w:t>Примечание 2:</w:t>
      </w:r>
      <w:r w:rsidRPr="009D6F83">
        <w:rPr>
          <w:rFonts w:cs="Arial"/>
          <w:i/>
          <w:szCs w:val="20"/>
        </w:rPr>
        <w:t xml:space="preserve"> Перевод текста размещается </w:t>
      </w:r>
      <w:r w:rsidRPr="009D6F83">
        <w:rPr>
          <w:rFonts w:cs="Arial"/>
          <w:i/>
          <w:snapToGrid w:val="0"/>
          <w:szCs w:val="20"/>
        </w:rPr>
        <w:t>в соответствующий столбец</w:t>
      </w:r>
      <w:r w:rsidRPr="009D6F83">
        <w:rPr>
          <w:rFonts w:cs="Arial"/>
          <w:snapToGrid w:val="0"/>
          <w:szCs w:val="20"/>
        </w:rPr>
        <w:t>.</w:t>
      </w:r>
    </w:p>
    <w:p w:rsidR="00A5458E" w:rsidRPr="00A5458E" w:rsidRDefault="00A5458E"/>
    <w:tbl>
      <w:tblPr>
        <w:tblStyle w:val="a3"/>
        <w:tblW w:w="0" w:type="auto"/>
        <w:tblLook w:val="04A0" w:firstRow="1" w:lastRow="0" w:firstColumn="1" w:lastColumn="0" w:noHBand="0" w:noVBand="1"/>
      </w:tblPr>
      <w:tblGrid>
        <w:gridCol w:w="5144"/>
        <w:gridCol w:w="4098"/>
      </w:tblGrid>
      <w:tr w:rsidR="0066397B" w:rsidRPr="00A5458E" w:rsidTr="0066397B">
        <w:tc>
          <w:tcPr>
            <w:tcW w:w="5144" w:type="dxa"/>
          </w:tcPr>
          <w:p w:rsidR="0066397B" w:rsidRPr="00A5458E" w:rsidRDefault="00A5458E" w:rsidP="00DB2B30">
            <w:pPr>
              <w:rPr>
                <w:b/>
                <w:sz w:val="24"/>
                <w:szCs w:val="24"/>
              </w:rPr>
            </w:pPr>
            <w:bookmarkStart w:id="0" w:name="_GoBack"/>
            <w:bookmarkEnd w:id="0"/>
            <w:r>
              <w:rPr>
                <w:b/>
                <w:sz w:val="24"/>
                <w:szCs w:val="24"/>
              </w:rPr>
              <w:t>Оригинал</w:t>
            </w:r>
          </w:p>
        </w:tc>
        <w:tc>
          <w:tcPr>
            <w:tcW w:w="4098" w:type="dxa"/>
          </w:tcPr>
          <w:p w:rsidR="0066397B" w:rsidRPr="00A5458E" w:rsidRDefault="00A5458E" w:rsidP="00DB2B30">
            <w:pPr>
              <w:rPr>
                <w:b/>
                <w:sz w:val="24"/>
                <w:szCs w:val="24"/>
              </w:rPr>
            </w:pPr>
            <w:r>
              <w:rPr>
                <w:b/>
                <w:sz w:val="24"/>
                <w:szCs w:val="24"/>
              </w:rPr>
              <w:t>Перевод</w:t>
            </w:r>
          </w:p>
        </w:tc>
      </w:tr>
      <w:tr w:rsidR="00A5458E" w:rsidRPr="00A5458E" w:rsidTr="0066397B">
        <w:tc>
          <w:tcPr>
            <w:tcW w:w="5144" w:type="dxa"/>
          </w:tcPr>
          <w:p w:rsidR="00A5458E" w:rsidRPr="0066397B" w:rsidRDefault="00A5458E" w:rsidP="00DB2B30">
            <w:pPr>
              <w:rPr>
                <w:sz w:val="24"/>
                <w:szCs w:val="24"/>
                <w:lang w:val="en-US"/>
              </w:rPr>
            </w:pPr>
            <w:r w:rsidRPr="0066397B">
              <w:rPr>
                <w:sz w:val="24"/>
                <w:szCs w:val="24"/>
                <w:lang w:val="en-US"/>
              </w:rPr>
              <w:t>In the current oncology drug development paradigm, trials are designed to maximize the chance of an effective therapy and often include patients with advanced disease and a limited life expectancy. Based on the strategies that were originally developed for cytotoxic chemotherapies, dose selection for the clinical development of targeted agents and cancer immunotherapies are typically based on the MTD, which is commonly identified in phase I studies and oftentimes with a limited knowledge of long</w:t>
            </w:r>
            <w:r w:rsidRPr="0066397B">
              <w:rPr>
                <w:rFonts w:ascii="Cambria Math" w:hAnsi="Cambria Math" w:cs="Cambria Math"/>
                <w:sz w:val="24"/>
                <w:szCs w:val="24"/>
                <w:lang w:val="en-US"/>
              </w:rPr>
              <w:t>‐</w:t>
            </w:r>
            <w:r w:rsidRPr="0066397B">
              <w:rPr>
                <w:sz w:val="24"/>
                <w:szCs w:val="24"/>
                <w:lang w:val="en-US"/>
              </w:rPr>
              <w:t>term tolerability. For traditional oncology molecules (e.g., chemotherapy, targeted agents), it is also common for the recommended phase II dose (RP2D) to also be the MTD. The selection of the MTD as the RP2D for cancer therapeutics is commonly based on the assumption that greater efficacy is associated with a higher dose; however, this approach has multiple limitations.</w:t>
            </w:r>
          </w:p>
        </w:tc>
        <w:tc>
          <w:tcPr>
            <w:tcW w:w="4098" w:type="dxa"/>
          </w:tcPr>
          <w:p w:rsidR="00A5458E" w:rsidRPr="0066397B" w:rsidRDefault="00A5458E" w:rsidP="00DB2B30">
            <w:pPr>
              <w:rPr>
                <w:sz w:val="24"/>
                <w:szCs w:val="24"/>
                <w:lang w:val="en-US"/>
              </w:rPr>
            </w:pPr>
          </w:p>
        </w:tc>
      </w:tr>
      <w:tr w:rsidR="0066397B" w:rsidRPr="00A5458E" w:rsidTr="0066397B">
        <w:tc>
          <w:tcPr>
            <w:tcW w:w="5144" w:type="dxa"/>
          </w:tcPr>
          <w:p w:rsidR="0066397B" w:rsidRPr="00A5458E" w:rsidRDefault="0066397B" w:rsidP="00DB2B30">
            <w:pPr>
              <w:rPr>
                <w:sz w:val="24"/>
                <w:szCs w:val="24"/>
                <w:lang w:val="en-US"/>
              </w:rPr>
            </w:pPr>
            <w:r w:rsidRPr="0066397B">
              <w:rPr>
                <w:sz w:val="24"/>
                <w:szCs w:val="24"/>
                <w:lang w:val="en"/>
              </w:rPr>
              <w:t>Healthy male and female subjects aged 18–65 and with BMI between 18 kg/m</w:t>
            </w:r>
            <w:r w:rsidRPr="0066397B">
              <w:rPr>
                <w:sz w:val="24"/>
                <w:szCs w:val="24"/>
                <w:vertAlign w:val="superscript"/>
                <w:lang w:val="en"/>
              </w:rPr>
              <w:t>2</w:t>
            </w:r>
            <w:r w:rsidRPr="0066397B">
              <w:rPr>
                <w:sz w:val="24"/>
                <w:szCs w:val="24"/>
                <w:lang w:val="en"/>
              </w:rPr>
              <w:t xml:space="preserve"> and 30 kg/m</w:t>
            </w:r>
            <w:r w:rsidRPr="0066397B">
              <w:rPr>
                <w:sz w:val="24"/>
                <w:szCs w:val="24"/>
                <w:vertAlign w:val="superscript"/>
                <w:lang w:val="en"/>
              </w:rPr>
              <w:t>2</w:t>
            </w:r>
            <w:r w:rsidRPr="0066397B">
              <w:rPr>
                <w:sz w:val="24"/>
                <w:szCs w:val="24"/>
                <w:lang w:val="en"/>
              </w:rPr>
              <w:t xml:space="preserve"> were enrolled into this double-blinded, placebo-controlled, dose-escalation trial. Subjects were randomized 3:1 to intravenous VPA or placebo infused over an hour. Serial plasma samples over 72 hours were assayed by liquid chromatography tandem mass spectrometry and analyzed by non-compartmental and population pharmacokinetic methods.</w:t>
            </w:r>
          </w:p>
        </w:tc>
        <w:tc>
          <w:tcPr>
            <w:tcW w:w="4098" w:type="dxa"/>
          </w:tcPr>
          <w:p w:rsidR="0066397B" w:rsidRPr="0066397B" w:rsidRDefault="0066397B" w:rsidP="00DB2B30">
            <w:pPr>
              <w:rPr>
                <w:sz w:val="24"/>
                <w:szCs w:val="24"/>
                <w:lang w:val="en"/>
              </w:rPr>
            </w:pPr>
          </w:p>
        </w:tc>
      </w:tr>
      <w:tr w:rsidR="0066397B" w:rsidRPr="00A5458E" w:rsidTr="0066397B">
        <w:tc>
          <w:tcPr>
            <w:tcW w:w="5144" w:type="dxa"/>
          </w:tcPr>
          <w:p w:rsidR="0066397B" w:rsidRPr="0066397B" w:rsidRDefault="0066397B" w:rsidP="00DB2B30">
            <w:pPr>
              <w:rPr>
                <w:sz w:val="24"/>
                <w:szCs w:val="24"/>
                <w:lang w:val="en-US"/>
              </w:rPr>
            </w:pPr>
            <w:r w:rsidRPr="00A5458E">
              <w:rPr>
                <w:rFonts w:cs="Arial"/>
                <w:sz w:val="24"/>
                <w:szCs w:val="24"/>
                <w:lang w:val="en-US"/>
              </w:rPr>
              <w:t xml:space="preserve">The QT interval on the ECG is prolonged by more than 50 marketed drugs, an effect that has been associated with syncope and/or sudden cardiac death due to an arrhythmia. Because changes in heart rate also change the QT interval, it has become standard practice to use a correction formula, such as the </w:t>
            </w:r>
            <w:proofErr w:type="spellStart"/>
            <w:r w:rsidRPr="00A5458E">
              <w:rPr>
                <w:rFonts w:cs="Arial"/>
                <w:sz w:val="24"/>
                <w:szCs w:val="24"/>
                <w:lang w:val="en-US"/>
              </w:rPr>
              <w:t>Bazett</w:t>
            </w:r>
            <w:proofErr w:type="spellEnd"/>
            <w:r w:rsidRPr="00A5458E">
              <w:rPr>
                <w:rFonts w:cs="Arial"/>
                <w:sz w:val="24"/>
                <w:szCs w:val="24"/>
                <w:lang w:val="en-US"/>
              </w:rPr>
              <w:t xml:space="preserve"> formula, to normalize the QT interval to a heart rate of 60 bpm, that is, the rate-corrected QT or </w:t>
            </w:r>
            <w:proofErr w:type="spellStart"/>
            <w:r w:rsidRPr="00A5458E">
              <w:rPr>
                <w:rFonts w:cs="Arial"/>
                <w:sz w:val="24"/>
                <w:szCs w:val="24"/>
                <w:lang w:val="en-US"/>
              </w:rPr>
              <w:t>QTc</w:t>
            </w:r>
            <w:proofErr w:type="spellEnd"/>
            <w:r w:rsidRPr="00A5458E">
              <w:rPr>
                <w:rFonts w:cs="Arial"/>
                <w:sz w:val="24"/>
                <w:szCs w:val="24"/>
                <w:lang w:val="en-US"/>
              </w:rPr>
              <w:t>.</w:t>
            </w:r>
          </w:p>
        </w:tc>
        <w:tc>
          <w:tcPr>
            <w:tcW w:w="4098" w:type="dxa"/>
          </w:tcPr>
          <w:p w:rsidR="0066397B" w:rsidRPr="00A5458E" w:rsidRDefault="0066397B" w:rsidP="00DB2B30">
            <w:pPr>
              <w:rPr>
                <w:rFonts w:cs="Arial"/>
                <w:szCs w:val="20"/>
                <w:lang w:val="en-US"/>
              </w:rPr>
            </w:pPr>
          </w:p>
        </w:tc>
      </w:tr>
    </w:tbl>
    <w:p w:rsidR="0066397B" w:rsidRPr="0066397B" w:rsidRDefault="0066397B" w:rsidP="0066397B">
      <w:pPr>
        <w:rPr>
          <w:lang w:val="en-US"/>
        </w:rPr>
      </w:pPr>
    </w:p>
    <w:sectPr w:rsidR="0066397B" w:rsidRPr="0066397B" w:rsidSect="000F0A3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7B"/>
    <w:rsid w:val="000F0A3A"/>
    <w:rsid w:val="0066397B"/>
    <w:rsid w:val="007932D8"/>
    <w:rsid w:val="00A5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A5458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A5458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MTeditor</dc:creator>
  <cp:lastModifiedBy>Новая Варя</cp:lastModifiedBy>
  <cp:revision>2</cp:revision>
  <dcterms:created xsi:type="dcterms:W3CDTF">2018-02-16T13:17:00Z</dcterms:created>
  <dcterms:modified xsi:type="dcterms:W3CDTF">2018-03-06T08:04:00Z</dcterms:modified>
</cp:coreProperties>
</file>