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EF" w:rsidRPr="008B60E0" w:rsidRDefault="006D5DEF" w:rsidP="006D5DEF">
      <w:pPr>
        <w:rPr>
          <w:b/>
          <w:sz w:val="24"/>
          <w:szCs w:val="24"/>
        </w:rPr>
      </w:pPr>
      <w:r w:rsidRPr="008B60E0">
        <w:rPr>
          <w:b/>
          <w:sz w:val="24"/>
          <w:szCs w:val="24"/>
        </w:rPr>
        <w:t>Фамилия</w:t>
      </w:r>
      <w:r>
        <w:rPr>
          <w:b/>
          <w:sz w:val="24"/>
          <w:szCs w:val="24"/>
        </w:rPr>
        <w:t>, имя</w:t>
      </w:r>
      <w:r w:rsidRPr="008B60E0">
        <w:rPr>
          <w:b/>
          <w:sz w:val="24"/>
          <w:szCs w:val="24"/>
        </w:rPr>
        <w:t xml:space="preserve"> переводчика </w:t>
      </w:r>
      <w:r w:rsidRPr="008B60E0">
        <w:rPr>
          <w:b/>
          <w:sz w:val="24"/>
          <w:szCs w:val="24"/>
          <w:u w:val="single"/>
        </w:rPr>
        <w:t>_______________________________</w:t>
      </w:r>
    </w:p>
    <w:p w:rsidR="006D5DEF" w:rsidRPr="008B60E0" w:rsidRDefault="006D5DEF" w:rsidP="006D5DEF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Направление перевода</w:t>
      </w:r>
      <w:r w:rsidRPr="008B60E0">
        <w:rPr>
          <w:b/>
          <w:sz w:val="24"/>
          <w:szCs w:val="24"/>
        </w:rPr>
        <w:t xml:space="preserve">: </w:t>
      </w:r>
      <w:r>
        <w:rPr>
          <w:i/>
          <w:sz w:val="24"/>
          <w:szCs w:val="24"/>
        </w:rPr>
        <w:t>французски</w:t>
      </w:r>
      <w:proofErr w:type="gramStart"/>
      <w:r>
        <w:rPr>
          <w:i/>
          <w:sz w:val="24"/>
          <w:szCs w:val="24"/>
        </w:rPr>
        <w:t>й</w:t>
      </w:r>
      <w:r>
        <w:rPr>
          <w:i/>
          <w:sz w:val="24"/>
          <w:szCs w:val="24"/>
        </w:rPr>
        <w:t>-</w:t>
      </w:r>
      <w:proofErr w:type="gramEnd"/>
      <w:r w:rsidRPr="006D5DEF">
        <w:rPr>
          <w:i/>
          <w:sz w:val="24"/>
          <w:szCs w:val="24"/>
        </w:rPr>
        <w:t>&gt;</w:t>
      </w:r>
      <w:r>
        <w:rPr>
          <w:i/>
          <w:sz w:val="24"/>
          <w:szCs w:val="24"/>
        </w:rPr>
        <w:t>русский</w:t>
      </w:r>
    </w:p>
    <w:p w:rsidR="006D5DEF" w:rsidRPr="006D5DEF" w:rsidRDefault="006D5DEF" w:rsidP="006D5DEF">
      <w:pPr>
        <w:rPr>
          <w:rStyle w:val="a4"/>
          <w:bCs/>
          <w:sz w:val="24"/>
          <w:szCs w:val="24"/>
        </w:rPr>
      </w:pPr>
      <w:r w:rsidRPr="008B60E0">
        <w:rPr>
          <w:b/>
          <w:sz w:val="24"/>
          <w:szCs w:val="24"/>
        </w:rPr>
        <w:t>Предметная область:</w:t>
      </w:r>
      <w:r w:rsidRPr="008B60E0">
        <w:rPr>
          <w:rStyle w:val="a4"/>
          <w:bCs/>
          <w:i/>
          <w:sz w:val="24"/>
          <w:szCs w:val="24"/>
        </w:rPr>
        <w:t xml:space="preserve"> </w:t>
      </w:r>
      <w:r>
        <w:rPr>
          <w:rStyle w:val="a4"/>
          <w:bCs/>
          <w:i/>
          <w:sz w:val="24"/>
          <w:szCs w:val="24"/>
        </w:rPr>
        <w:t>Медицина</w:t>
      </w:r>
    </w:p>
    <w:p w:rsidR="006D5DEF" w:rsidRPr="005B0FB1" w:rsidRDefault="006D5DEF" w:rsidP="006D5DEF">
      <w:pPr>
        <w:rPr>
          <w:rFonts w:cs="Arial"/>
          <w:szCs w:val="20"/>
        </w:rPr>
      </w:pPr>
      <w:r w:rsidRPr="005B0FB1">
        <w:rPr>
          <w:rFonts w:cs="Arial"/>
          <w:b/>
          <w:i/>
          <w:szCs w:val="20"/>
        </w:rPr>
        <w:t>Примечание 1:</w:t>
      </w:r>
      <w:r w:rsidRPr="005B0FB1">
        <w:rPr>
          <w:rFonts w:cs="Arial"/>
          <w:i/>
          <w:szCs w:val="20"/>
        </w:rPr>
        <w:t xml:space="preserve"> Необходимо сделать перевод приведенного ниже фрагмента текста</w:t>
      </w:r>
    </w:p>
    <w:p w:rsidR="006D5DEF" w:rsidRPr="005B0FB1" w:rsidRDefault="006D5DEF" w:rsidP="006D5DEF">
      <w:pPr>
        <w:rPr>
          <w:rFonts w:cs="Arial"/>
          <w:snapToGrid w:val="0"/>
          <w:szCs w:val="20"/>
        </w:rPr>
      </w:pPr>
      <w:r w:rsidRPr="005B0FB1">
        <w:rPr>
          <w:rFonts w:cs="Arial"/>
          <w:b/>
          <w:i/>
          <w:szCs w:val="20"/>
        </w:rPr>
        <w:t>Примечание 2:</w:t>
      </w:r>
      <w:r w:rsidRPr="005B0FB1">
        <w:rPr>
          <w:rFonts w:cs="Arial"/>
          <w:i/>
          <w:szCs w:val="20"/>
        </w:rPr>
        <w:t xml:space="preserve"> Перевод текста размещается </w:t>
      </w:r>
      <w:r w:rsidRPr="005B0FB1">
        <w:rPr>
          <w:rFonts w:cs="Arial"/>
          <w:i/>
          <w:snapToGrid w:val="0"/>
          <w:szCs w:val="20"/>
        </w:rPr>
        <w:t>в соответствующий столбец</w:t>
      </w:r>
      <w:r w:rsidRPr="005B0FB1">
        <w:rPr>
          <w:rFonts w:cs="Arial"/>
          <w:snapToGrid w:val="0"/>
          <w:szCs w:val="2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3B7816" w:rsidRPr="006D5DEF" w:rsidTr="00D06F81">
        <w:tc>
          <w:tcPr>
            <w:tcW w:w="4786" w:type="dxa"/>
          </w:tcPr>
          <w:p w:rsidR="003B7816" w:rsidRPr="006D5DEF" w:rsidRDefault="006D5DEF" w:rsidP="00284E7B">
            <w:pPr>
              <w:rPr>
                <w:b/>
              </w:rPr>
            </w:pPr>
            <w:r w:rsidRPr="006D5DEF">
              <w:rPr>
                <w:b/>
              </w:rPr>
              <w:t>Оригинал</w:t>
            </w:r>
          </w:p>
        </w:tc>
        <w:tc>
          <w:tcPr>
            <w:tcW w:w="4785" w:type="dxa"/>
          </w:tcPr>
          <w:p w:rsidR="003B7816" w:rsidRPr="006D5DEF" w:rsidRDefault="006D5DEF" w:rsidP="00456E6E">
            <w:pPr>
              <w:rPr>
                <w:b/>
              </w:rPr>
            </w:pPr>
            <w:r w:rsidRPr="006D5DEF">
              <w:rPr>
                <w:b/>
              </w:rPr>
              <w:t>Перевод</w:t>
            </w:r>
          </w:p>
        </w:tc>
      </w:tr>
      <w:tr w:rsidR="006D5DEF" w:rsidRPr="006D5DEF" w:rsidTr="00D06F81">
        <w:tc>
          <w:tcPr>
            <w:tcW w:w="4786" w:type="dxa"/>
          </w:tcPr>
          <w:p w:rsidR="006D5DEF" w:rsidRPr="00816203" w:rsidRDefault="006D5DEF" w:rsidP="00284E7B">
            <w:pPr>
              <w:rPr>
                <w:lang w:val="en-US"/>
              </w:rPr>
            </w:pPr>
            <w:proofErr w:type="spellStart"/>
            <w:r w:rsidRPr="00816203">
              <w:rPr>
                <w:lang w:val="en-US"/>
              </w:rPr>
              <w:t>L'utilisation</w:t>
            </w:r>
            <w:proofErr w:type="spellEnd"/>
            <w:r w:rsidRPr="00816203">
              <w:rPr>
                <w:lang w:val="en-US"/>
              </w:rPr>
              <w:t xml:space="preserve"> de </w:t>
            </w:r>
            <w:proofErr w:type="spellStart"/>
            <w:r w:rsidRPr="00816203">
              <w:rPr>
                <w:lang w:val="en-US"/>
              </w:rPr>
              <w:t>ce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dispositif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médical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est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limitée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uniquement</w:t>
            </w:r>
            <w:proofErr w:type="spellEnd"/>
            <w:r w:rsidRPr="00816203">
              <w:rPr>
                <w:lang w:val="en-US"/>
              </w:rPr>
              <w:t xml:space="preserve"> aux </w:t>
            </w:r>
            <w:proofErr w:type="spellStart"/>
            <w:r w:rsidRPr="00816203">
              <w:rPr>
                <w:lang w:val="en-US"/>
              </w:rPr>
              <w:t>professionnels</w:t>
            </w:r>
            <w:proofErr w:type="spellEnd"/>
            <w:r w:rsidRPr="00816203">
              <w:rPr>
                <w:lang w:val="en-US"/>
              </w:rPr>
              <w:t xml:space="preserve"> de santé </w:t>
            </w:r>
            <w:proofErr w:type="spellStart"/>
            <w:r w:rsidRPr="00816203">
              <w:rPr>
                <w:lang w:val="en-US"/>
              </w:rPr>
              <w:t>dentaire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diplômés</w:t>
            </w:r>
            <w:proofErr w:type="spellEnd"/>
            <w:r w:rsidRPr="00816203">
              <w:rPr>
                <w:lang w:val="en-US"/>
              </w:rPr>
              <w:t xml:space="preserve">, </w:t>
            </w:r>
            <w:proofErr w:type="spellStart"/>
            <w:r w:rsidRPr="00816203">
              <w:rPr>
                <w:lang w:val="en-US"/>
              </w:rPr>
              <w:t>aptes</w:t>
            </w:r>
            <w:proofErr w:type="spellEnd"/>
            <w:r w:rsidRPr="00816203">
              <w:rPr>
                <w:lang w:val="en-US"/>
              </w:rPr>
              <w:t xml:space="preserve"> et </w:t>
            </w:r>
            <w:proofErr w:type="spellStart"/>
            <w:r w:rsidRPr="00816203">
              <w:rPr>
                <w:lang w:val="en-US"/>
              </w:rPr>
              <w:t>qualifiés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dans</w:t>
            </w:r>
            <w:proofErr w:type="spellEnd"/>
            <w:r w:rsidRPr="00816203">
              <w:rPr>
                <w:lang w:val="en-US"/>
              </w:rPr>
              <w:t xml:space="preserve"> le cadre </w:t>
            </w:r>
            <w:proofErr w:type="spellStart"/>
            <w:r w:rsidRPr="00816203">
              <w:rPr>
                <w:lang w:val="en-US"/>
              </w:rPr>
              <w:t>habituel</w:t>
            </w:r>
            <w:proofErr w:type="spellEnd"/>
            <w:r w:rsidRPr="00816203">
              <w:rPr>
                <w:lang w:val="en-US"/>
              </w:rPr>
              <w:t xml:space="preserve"> de </w:t>
            </w:r>
            <w:proofErr w:type="spellStart"/>
            <w:r w:rsidRPr="00816203">
              <w:rPr>
                <w:lang w:val="en-US"/>
              </w:rPr>
              <w:t>leurs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activités</w:t>
            </w:r>
            <w:proofErr w:type="spellEnd"/>
            <w:r w:rsidRPr="00816203">
              <w:rPr>
                <w:lang w:val="en-US"/>
              </w:rPr>
              <w:t>.</w:t>
            </w:r>
          </w:p>
        </w:tc>
        <w:tc>
          <w:tcPr>
            <w:tcW w:w="4785" w:type="dxa"/>
          </w:tcPr>
          <w:p w:rsidR="006D5DEF" w:rsidRPr="006D5DEF" w:rsidRDefault="006D5DEF" w:rsidP="00456E6E">
            <w:pPr>
              <w:rPr>
                <w:lang w:val="en-US"/>
              </w:rPr>
            </w:pPr>
          </w:p>
        </w:tc>
      </w:tr>
      <w:tr w:rsidR="00A00F0F" w:rsidRPr="006D5DEF" w:rsidTr="00D06F81">
        <w:tc>
          <w:tcPr>
            <w:tcW w:w="4786" w:type="dxa"/>
          </w:tcPr>
          <w:p w:rsidR="00A00F0F" w:rsidRPr="00816203" w:rsidRDefault="00A00F0F" w:rsidP="00284E7B">
            <w:pPr>
              <w:rPr>
                <w:lang w:val="en-US"/>
              </w:rPr>
            </w:pPr>
            <w:proofErr w:type="spellStart"/>
            <w:r w:rsidRPr="00816203">
              <w:rPr>
                <w:lang w:val="en-US"/>
              </w:rPr>
              <w:t>Parce</w:t>
            </w:r>
            <w:proofErr w:type="spellEnd"/>
            <w:r w:rsidRPr="00816203">
              <w:rPr>
                <w:lang w:val="en-US"/>
              </w:rPr>
              <w:t xml:space="preserve"> que les habitudes de travail, le retour </w:t>
            </w:r>
            <w:proofErr w:type="spellStart"/>
            <w:r w:rsidRPr="00816203">
              <w:rPr>
                <w:lang w:val="en-US"/>
              </w:rPr>
              <w:t>d’expérience</w:t>
            </w:r>
            <w:proofErr w:type="spellEnd"/>
            <w:r w:rsidRPr="00816203">
              <w:rPr>
                <w:lang w:val="en-US"/>
              </w:rPr>
              <w:t xml:space="preserve"> et les formations </w:t>
            </w:r>
            <w:proofErr w:type="spellStart"/>
            <w:r w:rsidRPr="00816203">
              <w:rPr>
                <w:lang w:val="en-US"/>
              </w:rPr>
              <w:t>professionnelles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sont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différentes</w:t>
            </w:r>
            <w:proofErr w:type="spellEnd"/>
            <w:r w:rsidRPr="00816203">
              <w:rPr>
                <w:lang w:val="en-US"/>
              </w:rPr>
              <w:t xml:space="preserve"> d’un </w:t>
            </w:r>
            <w:proofErr w:type="spellStart"/>
            <w:r w:rsidRPr="00816203">
              <w:rPr>
                <w:lang w:val="en-US"/>
              </w:rPr>
              <w:t>professionnel</w:t>
            </w:r>
            <w:proofErr w:type="spellEnd"/>
            <w:r w:rsidRPr="00816203">
              <w:rPr>
                <w:lang w:val="en-US"/>
              </w:rPr>
              <w:t xml:space="preserve"> à </w:t>
            </w:r>
            <w:proofErr w:type="spellStart"/>
            <w:r w:rsidRPr="00816203">
              <w:rPr>
                <w:lang w:val="en-US"/>
              </w:rPr>
              <w:t>l’autre</w:t>
            </w:r>
            <w:proofErr w:type="spellEnd"/>
            <w:r w:rsidRPr="00816203">
              <w:rPr>
                <w:lang w:val="en-US"/>
              </w:rPr>
              <w:t xml:space="preserve">, </w:t>
            </w:r>
            <w:proofErr w:type="spellStart"/>
            <w:r w:rsidRPr="00816203">
              <w:rPr>
                <w:lang w:val="en-US"/>
              </w:rPr>
              <w:t>il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incombe</w:t>
            </w:r>
            <w:proofErr w:type="spellEnd"/>
            <w:r w:rsidRPr="00816203">
              <w:rPr>
                <w:lang w:val="en-US"/>
              </w:rPr>
              <w:t xml:space="preserve"> à </w:t>
            </w:r>
            <w:proofErr w:type="spellStart"/>
            <w:r w:rsidRPr="00816203">
              <w:rPr>
                <w:lang w:val="en-US"/>
              </w:rPr>
              <w:t>l’utilisateur</w:t>
            </w:r>
            <w:proofErr w:type="spellEnd"/>
            <w:r w:rsidRPr="00816203">
              <w:rPr>
                <w:lang w:val="en-US"/>
              </w:rPr>
              <w:t xml:space="preserve"> de </w:t>
            </w:r>
            <w:proofErr w:type="spellStart"/>
            <w:r w:rsidRPr="00816203">
              <w:rPr>
                <w:lang w:val="en-US"/>
              </w:rPr>
              <w:t>s’assurer</w:t>
            </w:r>
            <w:proofErr w:type="spellEnd"/>
            <w:r w:rsidRPr="00816203">
              <w:rPr>
                <w:lang w:val="en-US"/>
              </w:rPr>
              <w:t xml:space="preserve"> que le </w:t>
            </w:r>
            <w:proofErr w:type="spellStart"/>
            <w:r w:rsidRPr="00816203">
              <w:rPr>
                <w:lang w:val="en-US"/>
              </w:rPr>
              <w:t>débit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d’irrigation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soit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pleinement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adapté</w:t>
            </w:r>
            <w:proofErr w:type="spellEnd"/>
            <w:r w:rsidRPr="00816203">
              <w:rPr>
                <w:lang w:val="en-US"/>
              </w:rPr>
              <w:t xml:space="preserve"> à la </w:t>
            </w:r>
            <w:proofErr w:type="spellStart"/>
            <w:r w:rsidRPr="00816203">
              <w:rPr>
                <w:lang w:val="en-US"/>
              </w:rPr>
              <w:t>clinique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recherchée</w:t>
            </w:r>
            <w:proofErr w:type="spellEnd"/>
            <w:r w:rsidRPr="00816203">
              <w:rPr>
                <w:lang w:val="en-US"/>
              </w:rPr>
              <w:t>.</w:t>
            </w:r>
          </w:p>
        </w:tc>
        <w:tc>
          <w:tcPr>
            <w:tcW w:w="4785" w:type="dxa"/>
          </w:tcPr>
          <w:p w:rsidR="00A00F0F" w:rsidRPr="006D5DEF" w:rsidRDefault="00A00F0F" w:rsidP="00456E6E">
            <w:pPr>
              <w:rPr>
                <w:lang w:val="en-US"/>
              </w:rPr>
            </w:pPr>
          </w:p>
        </w:tc>
      </w:tr>
      <w:tr w:rsidR="00A00F0F" w:rsidRPr="006D5DEF" w:rsidTr="00D06F81">
        <w:tc>
          <w:tcPr>
            <w:tcW w:w="4786" w:type="dxa"/>
          </w:tcPr>
          <w:p w:rsidR="00A00F0F" w:rsidRPr="00816203" w:rsidRDefault="00D06F81" w:rsidP="00284E7B">
            <w:pPr>
              <w:rPr>
                <w:lang w:val="en-US"/>
              </w:rPr>
            </w:pPr>
            <w:proofErr w:type="spellStart"/>
            <w:r w:rsidRPr="00816203">
              <w:rPr>
                <w:lang w:val="en-US"/>
              </w:rPr>
              <w:t>L’utilisation</w:t>
            </w:r>
            <w:proofErr w:type="spellEnd"/>
            <w:r w:rsidRPr="00816203">
              <w:rPr>
                <w:lang w:val="en-US"/>
              </w:rPr>
              <w:t xml:space="preserve"> de </w:t>
            </w:r>
            <w:proofErr w:type="spellStart"/>
            <w:r w:rsidRPr="00816203">
              <w:rPr>
                <w:lang w:val="en-US"/>
              </w:rPr>
              <w:t>ce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dispositif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médical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est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interdite</w:t>
            </w:r>
            <w:proofErr w:type="spellEnd"/>
            <w:r w:rsidRPr="00816203">
              <w:rPr>
                <w:lang w:val="en-US"/>
              </w:rPr>
              <w:t xml:space="preserve"> sur les populations de patients </w:t>
            </w:r>
            <w:proofErr w:type="spellStart"/>
            <w:r w:rsidRPr="00816203">
              <w:rPr>
                <w:lang w:val="en-US"/>
              </w:rPr>
              <w:t>suivantes</w:t>
            </w:r>
            <w:proofErr w:type="spellEnd"/>
            <w:r w:rsidRPr="00816203">
              <w:rPr>
                <w:lang w:val="en-US"/>
              </w:rPr>
              <w:t xml:space="preserve"> :</w:t>
            </w:r>
          </w:p>
        </w:tc>
        <w:tc>
          <w:tcPr>
            <w:tcW w:w="4785" w:type="dxa"/>
          </w:tcPr>
          <w:p w:rsidR="00A00F0F" w:rsidRPr="006D5DEF" w:rsidRDefault="00A00F0F" w:rsidP="00456E6E">
            <w:pPr>
              <w:rPr>
                <w:lang w:val="en-US"/>
              </w:rPr>
            </w:pPr>
          </w:p>
        </w:tc>
      </w:tr>
      <w:tr w:rsidR="001500FC" w:rsidRPr="006D5DEF" w:rsidTr="00D06F81">
        <w:tc>
          <w:tcPr>
            <w:tcW w:w="4786" w:type="dxa"/>
          </w:tcPr>
          <w:p w:rsidR="001500FC" w:rsidRPr="00816203" w:rsidRDefault="001500FC" w:rsidP="00284E7B">
            <w:pPr>
              <w:rPr>
                <w:lang w:val="en-US"/>
              </w:rPr>
            </w:pPr>
            <w:r w:rsidRPr="00816203">
              <w:rPr>
                <w:lang w:val="en-US"/>
              </w:rPr>
              <w:t xml:space="preserve">femmes enceintes </w:t>
            </w:r>
            <w:proofErr w:type="spellStart"/>
            <w:r w:rsidRPr="00816203">
              <w:rPr>
                <w:lang w:val="en-US"/>
              </w:rPr>
              <w:t>ou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allaitant</w:t>
            </w:r>
            <w:proofErr w:type="spellEnd"/>
            <w:r w:rsidRPr="00816203">
              <w:rPr>
                <w:lang w:val="en-US"/>
              </w:rPr>
              <w:t xml:space="preserve"> pour cause de restrictions </w:t>
            </w:r>
            <w:proofErr w:type="spellStart"/>
            <w:r w:rsidRPr="00816203">
              <w:rPr>
                <w:lang w:val="en-US"/>
              </w:rPr>
              <w:t>liées</w:t>
            </w:r>
            <w:proofErr w:type="spellEnd"/>
            <w:r w:rsidRPr="00816203">
              <w:rPr>
                <w:lang w:val="en-US"/>
              </w:rPr>
              <w:t xml:space="preserve"> à </w:t>
            </w:r>
            <w:proofErr w:type="spellStart"/>
            <w:r w:rsidRPr="00816203">
              <w:rPr>
                <w:lang w:val="en-US"/>
              </w:rPr>
              <w:t>l’utilisation</w:t>
            </w:r>
            <w:proofErr w:type="spellEnd"/>
            <w:r w:rsidRPr="00816203">
              <w:rPr>
                <w:lang w:val="en-US"/>
              </w:rPr>
              <w:t xml:space="preserve"> possible de solutions </w:t>
            </w:r>
            <w:proofErr w:type="spellStart"/>
            <w:r w:rsidRPr="00816203">
              <w:rPr>
                <w:lang w:val="en-US"/>
              </w:rPr>
              <w:t>médicamenteuses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telles</w:t>
            </w:r>
            <w:proofErr w:type="spellEnd"/>
            <w:r w:rsidRPr="00816203">
              <w:rPr>
                <w:lang w:val="en-US"/>
              </w:rPr>
              <w:t xml:space="preserve"> que des </w:t>
            </w:r>
            <w:proofErr w:type="spellStart"/>
            <w:r w:rsidRPr="00816203">
              <w:rPr>
                <w:lang w:val="en-US"/>
              </w:rPr>
              <w:t>anesthésiques</w:t>
            </w:r>
            <w:proofErr w:type="spellEnd"/>
            <w:r w:rsidRPr="00816203">
              <w:rPr>
                <w:lang w:val="en-US"/>
              </w:rPr>
              <w:t> ;</w:t>
            </w:r>
          </w:p>
        </w:tc>
        <w:tc>
          <w:tcPr>
            <w:tcW w:w="4785" w:type="dxa"/>
          </w:tcPr>
          <w:p w:rsidR="001500FC" w:rsidRPr="006D5DEF" w:rsidRDefault="001500FC" w:rsidP="00456E6E">
            <w:pPr>
              <w:rPr>
                <w:lang w:val="en-US"/>
              </w:rPr>
            </w:pPr>
          </w:p>
        </w:tc>
      </w:tr>
      <w:tr w:rsidR="001500FC" w:rsidRPr="006D5DEF" w:rsidTr="00D06F81">
        <w:tc>
          <w:tcPr>
            <w:tcW w:w="4786" w:type="dxa"/>
          </w:tcPr>
          <w:p w:rsidR="001500FC" w:rsidRPr="00816203" w:rsidRDefault="001500FC" w:rsidP="00284E7B">
            <w:pPr>
              <w:rPr>
                <w:lang w:val="en-US"/>
              </w:rPr>
            </w:pPr>
            <w:r w:rsidRPr="00816203">
              <w:rPr>
                <w:lang w:val="en-US"/>
              </w:rPr>
              <w:t xml:space="preserve">patients </w:t>
            </w:r>
            <w:proofErr w:type="spellStart"/>
            <w:r w:rsidRPr="00816203">
              <w:rPr>
                <w:lang w:val="en-US"/>
              </w:rPr>
              <w:t>présentant</w:t>
            </w:r>
            <w:proofErr w:type="spellEnd"/>
            <w:r w:rsidRPr="00816203">
              <w:rPr>
                <w:lang w:val="en-US"/>
              </w:rPr>
              <w:t xml:space="preserve"> des complications </w:t>
            </w:r>
            <w:proofErr w:type="spellStart"/>
            <w:r w:rsidRPr="00816203">
              <w:rPr>
                <w:lang w:val="en-US"/>
              </w:rPr>
              <w:t>médicales</w:t>
            </w:r>
            <w:proofErr w:type="spellEnd"/>
            <w:r w:rsidRPr="00816203">
              <w:rPr>
                <w:lang w:val="en-US"/>
              </w:rPr>
              <w:t> ;</w:t>
            </w:r>
          </w:p>
        </w:tc>
        <w:tc>
          <w:tcPr>
            <w:tcW w:w="4785" w:type="dxa"/>
          </w:tcPr>
          <w:p w:rsidR="001500FC" w:rsidRPr="006D5DEF" w:rsidRDefault="001500FC" w:rsidP="00456E6E">
            <w:pPr>
              <w:rPr>
                <w:lang w:val="en-US"/>
              </w:rPr>
            </w:pPr>
          </w:p>
        </w:tc>
      </w:tr>
      <w:tr w:rsidR="001500FC" w:rsidRPr="006D5DEF" w:rsidTr="00D06F81">
        <w:tc>
          <w:tcPr>
            <w:tcW w:w="4786" w:type="dxa"/>
          </w:tcPr>
          <w:p w:rsidR="001500FC" w:rsidRPr="00816203" w:rsidRDefault="001500FC" w:rsidP="00284E7B">
            <w:pPr>
              <w:rPr>
                <w:lang w:val="en-US"/>
              </w:rPr>
            </w:pPr>
            <w:r w:rsidRPr="00816203">
              <w:rPr>
                <w:lang w:val="en-US"/>
              </w:rPr>
              <w:t xml:space="preserve">patients </w:t>
            </w:r>
            <w:proofErr w:type="spellStart"/>
            <w:r w:rsidRPr="00816203">
              <w:rPr>
                <w:lang w:val="en-US"/>
              </w:rPr>
              <w:t>allergiques</w:t>
            </w:r>
            <w:proofErr w:type="spellEnd"/>
            <w:r w:rsidRPr="00816203">
              <w:rPr>
                <w:lang w:val="en-US"/>
              </w:rPr>
              <w:t xml:space="preserve"> à des </w:t>
            </w:r>
            <w:proofErr w:type="spellStart"/>
            <w:r w:rsidRPr="00816203">
              <w:rPr>
                <w:lang w:val="en-US"/>
              </w:rPr>
              <w:t>constituants</w:t>
            </w:r>
            <w:proofErr w:type="spellEnd"/>
            <w:r w:rsidRPr="00816203">
              <w:rPr>
                <w:lang w:val="en-US"/>
              </w:rPr>
              <w:t xml:space="preserve"> du </w:t>
            </w:r>
            <w:proofErr w:type="spellStart"/>
            <w:r w:rsidRPr="00816203">
              <w:rPr>
                <w:lang w:val="en-US"/>
              </w:rPr>
              <w:t>dispositif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médical</w:t>
            </w:r>
            <w:proofErr w:type="spellEnd"/>
            <w:r w:rsidRPr="00816203">
              <w:rPr>
                <w:lang w:val="en-US"/>
              </w:rPr>
              <w:t> ;</w:t>
            </w:r>
          </w:p>
        </w:tc>
        <w:tc>
          <w:tcPr>
            <w:tcW w:w="4785" w:type="dxa"/>
          </w:tcPr>
          <w:p w:rsidR="001500FC" w:rsidRPr="006D5DEF" w:rsidRDefault="001500FC" w:rsidP="00456E6E">
            <w:pPr>
              <w:rPr>
                <w:lang w:val="en-US"/>
              </w:rPr>
            </w:pPr>
          </w:p>
        </w:tc>
      </w:tr>
      <w:tr w:rsidR="00F71501" w:rsidRPr="006D5DEF" w:rsidTr="00D06F81">
        <w:tc>
          <w:tcPr>
            <w:tcW w:w="4786" w:type="dxa"/>
          </w:tcPr>
          <w:p w:rsidR="00F71501" w:rsidRPr="00816203" w:rsidRDefault="00F71501" w:rsidP="00272391">
            <w:pPr>
              <w:rPr>
                <w:lang w:val="en-US"/>
              </w:rPr>
            </w:pPr>
            <w:r w:rsidRPr="00816203">
              <w:rPr>
                <w:lang w:val="en-US"/>
              </w:rPr>
              <w:t xml:space="preserve">troubles </w:t>
            </w:r>
            <w:proofErr w:type="spellStart"/>
            <w:r w:rsidRPr="00816203">
              <w:rPr>
                <w:lang w:val="en-US"/>
              </w:rPr>
              <w:t>auditifs</w:t>
            </w:r>
            <w:proofErr w:type="spellEnd"/>
            <w:r w:rsidRPr="00816203">
              <w:rPr>
                <w:lang w:val="en-US"/>
              </w:rPr>
              <w:t xml:space="preserve"> qui </w:t>
            </w:r>
            <w:proofErr w:type="spellStart"/>
            <w:r w:rsidRPr="00816203">
              <w:rPr>
                <w:lang w:val="en-US"/>
              </w:rPr>
              <w:t>empêcherait</w:t>
            </w:r>
            <w:proofErr w:type="spellEnd"/>
            <w:r w:rsidRPr="00816203">
              <w:rPr>
                <w:lang w:val="en-US"/>
              </w:rPr>
              <w:t xml:space="preserve"> la perception </w:t>
            </w:r>
            <w:proofErr w:type="spellStart"/>
            <w:r w:rsidRPr="00816203">
              <w:rPr>
                <w:lang w:val="en-US"/>
              </w:rPr>
              <w:t>d’indicateurs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sonores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en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fonction</w:t>
            </w:r>
            <w:proofErr w:type="spellEnd"/>
            <w:r w:rsidRPr="00816203">
              <w:rPr>
                <w:lang w:val="en-US"/>
              </w:rPr>
              <w:t xml:space="preserve"> des </w:t>
            </w:r>
            <w:proofErr w:type="spellStart"/>
            <w:r w:rsidRPr="00816203">
              <w:rPr>
                <w:lang w:val="en-US"/>
              </w:rPr>
              <w:t>dispositifs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médicaux</w:t>
            </w:r>
            <w:proofErr w:type="spellEnd"/>
            <w:r w:rsidRPr="00816203">
              <w:rPr>
                <w:lang w:val="en-US"/>
              </w:rPr>
              <w:t> ;</w:t>
            </w:r>
          </w:p>
        </w:tc>
        <w:tc>
          <w:tcPr>
            <w:tcW w:w="4785" w:type="dxa"/>
          </w:tcPr>
          <w:p w:rsidR="00F71501" w:rsidRPr="006D5DEF" w:rsidRDefault="00F71501" w:rsidP="00991AFE">
            <w:pPr>
              <w:rPr>
                <w:lang w:val="en-US"/>
              </w:rPr>
            </w:pPr>
          </w:p>
        </w:tc>
      </w:tr>
      <w:tr w:rsidR="00AD50D7" w:rsidRPr="006D5DEF" w:rsidTr="00D06F81">
        <w:tc>
          <w:tcPr>
            <w:tcW w:w="4786" w:type="dxa"/>
          </w:tcPr>
          <w:p w:rsidR="00AD50D7" w:rsidRPr="00816203" w:rsidRDefault="00AD50D7" w:rsidP="00075720">
            <w:pPr>
              <w:rPr>
                <w:lang w:val="en-US"/>
              </w:rPr>
            </w:pPr>
            <w:proofErr w:type="spellStart"/>
            <w:proofErr w:type="gramStart"/>
            <w:r w:rsidRPr="00816203">
              <w:rPr>
                <w:lang w:val="en-US"/>
              </w:rPr>
              <w:t>Localement</w:t>
            </w:r>
            <w:proofErr w:type="spellEnd"/>
            <w:r w:rsidRPr="00816203">
              <w:rPr>
                <w:lang w:val="en-US"/>
              </w:rPr>
              <w:t xml:space="preserve"> :</w:t>
            </w:r>
            <w:proofErr w:type="gramEnd"/>
            <w:r w:rsidRPr="00816203">
              <w:rPr>
                <w:lang w:val="en-US"/>
              </w:rPr>
              <w:t xml:space="preserve"> La langue </w:t>
            </w:r>
            <w:proofErr w:type="spellStart"/>
            <w:r w:rsidRPr="00816203">
              <w:rPr>
                <w:lang w:val="en-US"/>
              </w:rPr>
              <w:t>est</w:t>
            </w:r>
            <w:proofErr w:type="spellEnd"/>
            <w:r w:rsidRPr="00816203">
              <w:rPr>
                <w:lang w:val="en-US"/>
              </w:rPr>
              <w:t xml:space="preserve"> un </w:t>
            </w:r>
            <w:proofErr w:type="spellStart"/>
            <w:r w:rsidRPr="00816203">
              <w:rPr>
                <w:lang w:val="en-US"/>
              </w:rPr>
              <w:t>peu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couverte</w:t>
            </w:r>
            <w:proofErr w:type="spellEnd"/>
            <w:r w:rsidRPr="00816203">
              <w:rPr>
                <w:lang w:val="en-US"/>
              </w:rPr>
              <w:t xml:space="preserve">, </w:t>
            </w:r>
            <w:proofErr w:type="spellStart"/>
            <w:r w:rsidRPr="00816203">
              <w:rPr>
                <w:lang w:val="en-US"/>
              </w:rPr>
              <w:t>sèche</w:t>
            </w:r>
            <w:proofErr w:type="spellEnd"/>
            <w:r w:rsidRPr="00816203">
              <w:rPr>
                <w:lang w:val="en-US"/>
              </w:rPr>
              <w:t xml:space="preserve">. Le </w:t>
            </w:r>
            <w:proofErr w:type="spellStart"/>
            <w:r w:rsidRPr="00816203">
              <w:rPr>
                <w:lang w:val="en-US"/>
              </w:rPr>
              <w:t>ventre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est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symétrique</w:t>
            </w:r>
            <w:proofErr w:type="spellEnd"/>
            <w:r w:rsidRPr="00816203">
              <w:rPr>
                <w:lang w:val="en-US"/>
              </w:rPr>
              <w:t xml:space="preserve">, distension </w:t>
            </w:r>
            <w:proofErr w:type="spellStart"/>
            <w:r w:rsidRPr="00816203">
              <w:rPr>
                <w:lang w:val="en-US"/>
              </w:rPr>
              <w:t>modérée</w:t>
            </w:r>
            <w:proofErr w:type="spellEnd"/>
            <w:r w:rsidRPr="00816203">
              <w:rPr>
                <w:lang w:val="en-US"/>
              </w:rPr>
              <w:t xml:space="preserve">, </w:t>
            </w:r>
            <w:proofErr w:type="spellStart"/>
            <w:r w:rsidRPr="00816203">
              <w:rPr>
                <w:lang w:val="en-US"/>
              </w:rPr>
              <w:t>sa</w:t>
            </w:r>
            <w:proofErr w:type="spellEnd"/>
            <w:r w:rsidRPr="00816203">
              <w:rPr>
                <w:lang w:val="en-US"/>
              </w:rPr>
              <w:t xml:space="preserve"> participation à la respiration </w:t>
            </w:r>
            <w:proofErr w:type="spellStart"/>
            <w:r w:rsidRPr="00816203">
              <w:rPr>
                <w:lang w:val="en-US"/>
              </w:rPr>
              <w:t>est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limitée</w:t>
            </w:r>
            <w:proofErr w:type="spellEnd"/>
            <w:r w:rsidRPr="00816203">
              <w:rPr>
                <w:lang w:val="en-US"/>
              </w:rPr>
              <w:t xml:space="preserve">. Sur la </w:t>
            </w:r>
            <w:proofErr w:type="spellStart"/>
            <w:r w:rsidRPr="00816203">
              <w:rPr>
                <w:lang w:val="en-US"/>
              </w:rPr>
              <w:t>paroi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abdominale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antérieure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il</w:t>
            </w:r>
            <w:proofErr w:type="spellEnd"/>
            <w:r w:rsidRPr="00816203">
              <w:rPr>
                <w:lang w:val="en-US"/>
              </w:rPr>
              <w:t xml:space="preserve"> y a les cicatrices </w:t>
            </w:r>
            <w:proofErr w:type="spellStart"/>
            <w:r w:rsidRPr="00816203">
              <w:rPr>
                <w:lang w:val="en-US"/>
              </w:rPr>
              <w:t>postopératoires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anciennes</w:t>
            </w:r>
            <w:proofErr w:type="spellEnd"/>
            <w:r w:rsidRPr="00816203">
              <w:rPr>
                <w:lang w:val="en-US"/>
              </w:rPr>
              <w:t xml:space="preserve">. Au </w:t>
            </w:r>
            <w:proofErr w:type="spellStart"/>
            <w:r w:rsidRPr="00816203">
              <w:rPr>
                <w:lang w:val="en-US"/>
              </w:rPr>
              <w:t>cours</w:t>
            </w:r>
            <w:proofErr w:type="spellEnd"/>
            <w:r w:rsidRPr="00816203">
              <w:rPr>
                <w:lang w:val="en-US"/>
              </w:rPr>
              <w:t xml:space="preserve"> de la palpation le </w:t>
            </w:r>
            <w:proofErr w:type="spellStart"/>
            <w:r w:rsidRPr="00816203">
              <w:rPr>
                <w:lang w:val="en-US"/>
              </w:rPr>
              <w:t>ventre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est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modérément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douloureux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en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épigastre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dans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toutes</w:t>
            </w:r>
            <w:proofErr w:type="spellEnd"/>
            <w:r w:rsidRPr="00816203">
              <w:rPr>
                <w:lang w:val="en-US"/>
              </w:rPr>
              <w:t xml:space="preserve"> les zones. On </w:t>
            </w:r>
            <w:proofErr w:type="spellStart"/>
            <w:r w:rsidRPr="00816203">
              <w:rPr>
                <w:lang w:val="en-US"/>
              </w:rPr>
              <w:t>définit</w:t>
            </w:r>
            <w:proofErr w:type="spellEnd"/>
            <w:r w:rsidRPr="00816203">
              <w:rPr>
                <w:lang w:val="en-US"/>
              </w:rPr>
              <w:t xml:space="preserve"> la tension de </w:t>
            </w:r>
            <w:proofErr w:type="spellStart"/>
            <w:r w:rsidRPr="00816203">
              <w:rPr>
                <w:lang w:val="en-US"/>
              </w:rPr>
              <w:t>défense</w:t>
            </w:r>
            <w:proofErr w:type="spellEnd"/>
            <w:r w:rsidRPr="00816203">
              <w:rPr>
                <w:lang w:val="en-US"/>
              </w:rPr>
              <w:t xml:space="preserve"> des muscles pas </w:t>
            </w:r>
            <w:proofErr w:type="spellStart"/>
            <w:r w:rsidRPr="00816203">
              <w:rPr>
                <w:lang w:val="en-US"/>
              </w:rPr>
              <w:t>accentuée</w:t>
            </w:r>
            <w:proofErr w:type="spellEnd"/>
            <w:r w:rsidRPr="00816203">
              <w:rPr>
                <w:lang w:val="en-US"/>
              </w:rPr>
              <w:t xml:space="preserve">. </w:t>
            </w:r>
          </w:p>
        </w:tc>
        <w:tc>
          <w:tcPr>
            <w:tcW w:w="4785" w:type="dxa"/>
          </w:tcPr>
          <w:p w:rsidR="00AD50D7" w:rsidRPr="00AD50D7" w:rsidRDefault="00AD50D7" w:rsidP="00075720">
            <w:pPr>
              <w:rPr>
                <w:lang w:val="en-US"/>
              </w:rPr>
            </w:pPr>
          </w:p>
        </w:tc>
      </w:tr>
      <w:tr w:rsidR="00075720" w:rsidTr="00D06F81">
        <w:tc>
          <w:tcPr>
            <w:tcW w:w="4786" w:type="dxa"/>
          </w:tcPr>
          <w:p w:rsidR="00075720" w:rsidRPr="00A01604" w:rsidRDefault="00075720" w:rsidP="00A01604">
            <w:pPr>
              <w:rPr>
                <w:lang w:val="fr-FR"/>
              </w:rPr>
            </w:pPr>
            <w:r w:rsidRPr="00816203">
              <w:rPr>
                <w:lang w:val="en-US"/>
              </w:rPr>
              <w:t xml:space="preserve">Le foie </w:t>
            </w:r>
            <w:proofErr w:type="spellStart"/>
            <w:r w:rsidRPr="00816203">
              <w:rPr>
                <w:lang w:val="en-US"/>
              </w:rPr>
              <w:t>est</w:t>
            </w:r>
            <w:proofErr w:type="spellEnd"/>
            <w:r w:rsidRPr="00816203">
              <w:rPr>
                <w:lang w:val="en-US"/>
              </w:rPr>
              <w:t xml:space="preserve"> à </w:t>
            </w:r>
            <w:proofErr w:type="spellStart"/>
            <w:r w:rsidRPr="00816203">
              <w:rPr>
                <w:lang w:val="en-US"/>
              </w:rPr>
              <w:t>côté</w:t>
            </w:r>
            <w:proofErr w:type="spellEnd"/>
            <w:r w:rsidRPr="00816203">
              <w:rPr>
                <w:lang w:val="en-US"/>
              </w:rPr>
              <w:t xml:space="preserve"> de </w:t>
            </w:r>
            <w:proofErr w:type="spellStart"/>
            <w:r w:rsidRPr="00816203">
              <w:rPr>
                <w:lang w:val="en-US"/>
              </w:rPr>
              <w:t>l’extrémité</w:t>
            </w:r>
            <w:proofErr w:type="spellEnd"/>
            <w:r w:rsidRPr="00816203">
              <w:rPr>
                <w:lang w:val="en-US"/>
              </w:rPr>
              <w:t xml:space="preserve"> de </w:t>
            </w:r>
            <w:proofErr w:type="spellStart"/>
            <w:r w:rsidRPr="00816203">
              <w:rPr>
                <w:lang w:val="en-US"/>
              </w:rPr>
              <w:t>l’arc</w:t>
            </w:r>
            <w:proofErr w:type="spellEnd"/>
            <w:r w:rsidRPr="00816203">
              <w:rPr>
                <w:lang w:val="en-US"/>
              </w:rPr>
              <w:t xml:space="preserve"> costal, la </w:t>
            </w:r>
            <w:proofErr w:type="spellStart"/>
            <w:r w:rsidRPr="00816203">
              <w:rPr>
                <w:lang w:val="en-US"/>
              </w:rPr>
              <w:t>vésicule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biliaire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n’est</w:t>
            </w:r>
            <w:proofErr w:type="spellEnd"/>
            <w:r w:rsidRPr="00816203">
              <w:rPr>
                <w:lang w:val="en-US"/>
              </w:rPr>
              <w:t xml:space="preserve"> pas</w:t>
            </w:r>
            <w:r>
              <w:rPr>
                <w:lang w:val="en-US"/>
              </w:rPr>
              <w:t xml:space="preserve"> </w:t>
            </w:r>
            <w:r w:rsidRPr="00816203">
              <w:rPr>
                <w:lang w:val="en-US"/>
              </w:rPr>
              <w:t xml:space="preserve">palpable. Le </w:t>
            </w:r>
            <w:proofErr w:type="spellStart"/>
            <w:r w:rsidRPr="00816203">
              <w:rPr>
                <w:lang w:val="en-US"/>
              </w:rPr>
              <w:t>signe</w:t>
            </w:r>
            <w:proofErr w:type="spellEnd"/>
            <w:r w:rsidRPr="00816203">
              <w:rPr>
                <w:lang w:val="en-US"/>
              </w:rPr>
              <w:t xml:space="preserve"> de Blumberg </w:t>
            </w:r>
            <w:proofErr w:type="spellStart"/>
            <w:r w:rsidRPr="00816203">
              <w:rPr>
                <w:lang w:val="en-US"/>
              </w:rPr>
              <w:t>est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négatif</w:t>
            </w:r>
            <w:proofErr w:type="spellEnd"/>
            <w:r w:rsidRPr="00816203">
              <w:rPr>
                <w:lang w:val="en-US"/>
              </w:rPr>
              <w:t xml:space="preserve">. Le bruit de </w:t>
            </w:r>
            <w:proofErr w:type="spellStart"/>
            <w:r w:rsidRPr="00816203">
              <w:rPr>
                <w:lang w:val="en-US"/>
              </w:rPr>
              <w:t>clapotement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est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faiblement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entendu</w:t>
            </w:r>
            <w:proofErr w:type="spellEnd"/>
            <w:r w:rsidRPr="00816203">
              <w:rPr>
                <w:lang w:val="en-US"/>
              </w:rPr>
              <w:t xml:space="preserve">. Par percussion on </w:t>
            </w:r>
            <w:proofErr w:type="spellStart"/>
            <w:r w:rsidRPr="00816203">
              <w:rPr>
                <w:lang w:val="en-US"/>
              </w:rPr>
              <w:t>définit</w:t>
            </w:r>
            <w:proofErr w:type="spellEnd"/>
            <w:r w:rsidRPr="00816203">
              <w:rPr>
                <w:lang w:val="en-US"/>
              </w:rPr>
              <w:t xml:space="preserve"> la </w:t>
            </w:r>
            <w:proofErr w:type="spellStart"/>
            <w:r w:rsidRPr="00816203">
              <w:rPr>
                <w:lang w:val="en-US"/>
              </w:rPr>
              <w:t>tympanite</w:t>
            </w:r>
            <w:proofErr w:type="spellEnd"/>
            <w:r w:rsidRPr="00816203">
              <w:rPr>
                <w:lang w:val="en-US"/>
              </w:rPr>
              <w:t xml:space="preserve">. On </w:t>
            </w:r>
            <w:proofErr w:type="spellStart"/>
            <w:r w:rsidRPr="00816203">
              <w:rPr>
                <w:lang w:val="en-US"/>
              </w:rPr>
              <w:t>ausculte</w:t>
            </w:r>
            <w:proofErr w:type="spellEnd"/>
            <w:r w:rsidRPr="00816203">
              <w:rPr>
                <w:lang w:val="en-US"/>
              </w:rPr>
              <w:t xml:space="preserve"> les bruits </w:t>
            </w:r>
            <w:proofErr w:type="spellStart"/>
            <w:r w:rsidRPr="00816203">
              <w:rPr>
                <w:lang w:val="en-US"/>
              </w:rPr>
              <w:t>intestinaux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actifs</w:t>
            </w:r>
            <w:proofErr w:type="spellEnd"/>
            <w:r w:rsidRPr="00816203">
              <w:rPr>
                <w:lang w:val="en-US"/>
              </w:rPr>
              <w:t xml:space="preserve"> au </w:t>
            </w:r>
            <w:proofErr w:type="spellStart"/>
            <w:r w:rsidRPr="00816203">
              <w:rPr>
                <w:lang w:val="en-US"/>
              </w:rPr>
              <w:t>niveau</w:t>
            </w:r>
            <w:proofErr w:type="spellEnd"/>
            <w:r w:rsidRPr="00816203">
              <w:rPr>
                <w:lang w:val="en-US"/>
              </w:rPr>
              <w:t xml:space="preserve"> des </w:t>
            </w:r>
            <w:proofErr w:type="spellStart"/>
            <w:r w:rsidRPr="00816203">
              <w:rPr>
                <w:lang w:val="en-US"/>
              </w:rPr>
              <w:t>douleurs</w:t>
            </w:r>
            <w:proofErr w:type="spellEnd"/>
            <w:r w:rsidRPr="00816203">
              <w:rPr>
                <w:lang w:val="en-US"/>
              </w:rPr>
              <w:t xml:space="preserve">. Per </w:t>
            </w:r>
            <w:proofErr w:type="gramStart"/>
            <w:r w:rsidRPr="00816203">
              <w:rPr>
                <w:lang w:val="en-US"/>
              </w:rPr>
              <w:t>rectum :</w:t>
            </w:r>
            <w:proofErr w:type="gramEnd"/>
            <w:r w:rsidRPr="00816203">
              <w:rPr>
                <w:lang w:val="en-US"/>
              </w:rPr>
              <w:t xml:space="preserve"> le tonus du sphincter </w:t>
            </w:r>
            <w:proofErr w:type="spellStart"/>
            <w:r w:rsidRPr="00816203">
              <w:rPr>
                <w:lang w:val="en-US"/>
              </w:rPr>
              <w:t>est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diminué</w:t>
            </w:r>
            <w:proofErr w:type="spellEnd"/>
            <w:r w:rsidRPr="00816203">
              <w:rPr>
                <w:lang w:val="en-US"/>
              </w:rPr>
              <w:t xml:space="preserve">, </w:t>
            </w:r>
            <w:proofErr w:type="spellStart"/>
            <w:r w:rsidRPr="00816203">
              <w:rPr>
                <w:lang w:val="en-US"/>
              </w:rPr>
              <w:t>l’ampoule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rectale</w:t>
            </w:r>
            <w:proofErr w:type="spellEnd"/>
            <w:r w:rsidRPr="00816203">
              <w:rPr>
                <w:lang w:val="en-US"/>
              </w:rPr>
              <w:t xml:space="preserve"> </w:t>
            </w:r>
            <w:proofErr w:type="spellStart"/>
            <w:r w:rsidRPr="00816203">
              <w:rPr>
                <w:lang w:val="en-US"/>
              </w:rPr>
              <w:t>est</w:t>
            </w:r>
            <w:proofErr w:type="spellEnd"/>
            <w:r w:rsidRPr="00816203">
              <w:rPr>
                <w:lang w:val="en-US"/>
              </w:rPr>
              <w:t xml:space="preserve"> vide. </w:t>
            </w: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formations</w:t>
            </w:r>
            <w:proofErr w:type="spellEnd"/>
            <w:r>
              <w:t xml:space="preserve"> </w:t>
            </w:r>
            <w:proofErr w:type="spellStart"/>
            <w:r>
              <w:t>pathologiques</w:t>
            </w:r>
            <w:proofErr w:type="spellEnd"/>
            <w:r>
              <w:t xml:space="preserve"> </w:t>
            </w:r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</w:t>
            </w:r>
            <w:proofErr w:type="spellStart"/>
            <w:r>
              <w:t>révélées</w:t>
            </w:r>
            <w:proofErr w:type="spellEnd"/>
            <w:r>
              <w:t>.</w:t>
            </w:r>
          </w:p>
        </w:tc>
        <w:tc>
          <w:tcPr>
            <w:tcW w:w="4785" w:type="dxa"/>
          </w:tcPr>
          <w:p w:rsidR="00075720" w:rsidRPr="00A01604" w:rsidRDefault="00075720" w:rsidP="0085307B"/>
        </w:tc>
      </w:tr>
      <w:tr w:rsidR="00A01604" w:rsidRPr="006D5DEF" w:rsidTr="00D06F81">
        <w:tc>
          <w:tcPr>
            <w:tcW w:w="4786" w:type="dxa"/>
          </w:tcPr>
          <w:p w:rsidR="00A01604" w:rsidRPr="00A01604" w:rsidRDefault="00A01604" w:rsidP="00A01604">
            <w:pPr>
              <w:rPr>
                <w:lang w:val="fr-FR"/>
              </w:rPr>
            </w:pPr>
            <w:r w:rsidRPr="00A01604">
              <w:rPr>
                <w:lang w:val="fr-FR"/>
              </w:rPr>
              <w:t>•</w:t>
            </w:r>
            <w:r w:rsidRPr="00A01604">
              <w:rPr>
                <w:lang w:val="fr-FR"/>
              </w:rPr>
              <w:tab/>
              <w:t xml:space="preserve">Rennie ne doit pas être utilisé par cure de plus de 10 jours : des effets indésirables ont été observés lors de l'association avec des diurétiques thiazidiques ou chez des patients prenant de </w:t>
            </w:r>
            <w:r w:rsidRPr="00A01604">
              <w:rPr>
                <w:lang w:val="fr-FR"/>
              </w:rPr>
              <w:lastRenderedPageBreak/>
              <w:t>grandes quantités de lait ou de produits lactés, notamment lors de traitements prolongés.</w:t>
            </w:r>
          </w:p>
        </w:tc>
        <w:tc>
          <w:tcPr>
            <w:tcW w:w="4785" w:type="dxa"/>
          </w:tcPr>
          <w:p w:rsidR="00A01604" w:rsidRPr="006D5DEF" w:rsidRDefault="00A01604" w:rsidP="0085307B">
            <w:pPr>
              <w:rPr>
                <w:lang w:val="en-US"/>
              </w:rPr>
            </w:pPr>
          </w:p>
        </w:tc>
        <w:bookmarkStart w:id="0" w:name="_GoBack"/>
        <w:bookmarkEnd w:id="0"/>
      </w:tr>
      <w:tr w:rsidR="00AD50D7" w:rsidRPr="006D5DEF" w:rsidTr="00A01604">
        <w:trPr>
          <w:trHeight w:val="70"/>
        </w:trPr>
        <w:tc>
          <w:tcPr>
            <w:tcW w:w="4786" w:type="dxa"/>
          </w:tcPr>
          <w:p w:rsidR="00AD50D7" w:rsidRPr="00A01604" w:rsidRDefault="00A01604" w:rsidP="00A01604">
            <w:pPr>
              <w:rPr>
                <w:lang w:val="fr-FR"/>
              </w:rPr>
            </w:pPr>
            <w:r w:rsidRPr="00A01604">
              <w:rPr>
                <w:lang w:val="fr-FR"/>
              </w:rPr>
              <w:lastRenderedPageBreak/>
              <w:t>•</w:t>
            </w:r>
            <w:r w:rsidRPr="00A01604">
              <w:rPr>
                <w:lang w:val="fr-FR"/>
              </w:rPr>
              <w:tab/>
              <w:t>Si on est conduit à dépasser 4 à 8 comprimés par jour, ce traitement devra être de courte durée, ne devra pas être poursuivi après la disparition des symptômes et ne devra pas dépasser 12 comprimés par jour.</w:t>
            </w:r>
          </w:p>
        </w:tc>
        <w:tc>
          <w:tcPr>
            <w:tcW w:w="4785" w:type="dxa"/>
          </w:tcPr>
          <w:p w:rsidR="00AD50D7" w:rsidRPr="006D5DEF" w:rsidRDefault="00AD50D7" w:rsidP="00991AFE">
            <w:pPr>
              <w:rPr>
                <w:lang w:val="en-US"/>
              </w:rPr>
            </w:pPr>
          </w:p>
        </w:tc>
      </w:tr>
    </w:tbl>
    <w:p w:rsidR="00ED71D3" w:rsidRPr="006D5DEF" w:rsidRDefault="00ED71D3" w:rsidP="001500FC">
      <w:pPr>
        <w:rPr>
          <w:lang w:val="en-US"/>
        </w:rPr>
      </w:pPr>
    </w:p>
    <w:sectPr w:rsidR="00ED71D3" w:rsidRPr="006D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FC"/>
    <w:rsid w:val="00075720"/>
    <w:rsid w:val="000C2795"/>
    <w:rsid w:val="001031D3"/>
    <w:rsid w:val="001500FC"/>
    <w:rsid w:val="00161BB5"/>
    <w:rsid w:val="001650B8"/>
    <w:rsid w:val="00182915"/>
    <w:rsid w:val="001840AF"/>
    <w:rsid w:val="001A16BB"/>
    <w:rsid w:val="001E38DE"/>
    <w:rsid w:val="001F2DAF"/>
    <w:rsid w:val="002278E6"/>
    <w:rsid w:val="00233E74"/>
    <w:rsid w:val="00272C53"/>
    <w:rsid w:val="002C5824"/>
    <w:rsid w:val="002D08D6"/>
    <w:rsid w:val="002D5803"/>
    <w:rsid w:val="003341FC"/>
    <w:rsid w:val="00334882"/>
    <w:rsid w:val="00367980"/>
    <w:rsid w:val="00373851"/>
    <w:rsid w:val="00380D7D"/>
    <w:rsid w:val="00386DCE"/>
    <w:rsid w:val="003B387D"/>
    <w:rsid w:val="003B7816"/>
    <w:rsid w:val="003D30C7"/>
    <w:rsid w:val="00405B1D"/>
    <w:rsid w:val="00411E61"/>
    <w:rsid w:val="00435527"/>
    <w:rsid w:val="0045594E"/>
    <w:rsid w:val="00465EF3"/>
    <w:rsid w:val="004A7ED8"/>
    <w:rsid w:val="004D2CA6"/>
    <w:rsid w:val="004F6924"/>
    <w:rsid w:val="005256DA"/>
    <w:rsid w:val="00533675"/>
    <w:rsid w:val="005D3E23"/>
    <w:rsid w:val="005E0187"/>
    <w:rsid w:val="006073F7"/>
    <w:rsid w:val="00621FAB"/>
    <w:rsid w:val="006255B7"/>
    <w:rsid w:val="006450CD"/>
    <w:rsid w:val="006825B2"/>
    <w:rsid w:val="00683C97"/>
    <w:rsid w:val="006B45CE"/>
    <w:rsid w:val="006C0E4F"/>
    <w:rsid w:val="006D5DEF"/>
    <w:rsid w:val="006F6CCD"/>
    <w:rsid w:val="00715FF4"/>
    <w:rsid w:val="00724357"/>
    <w:rsid w:val="00724BC5"/>
    <w:rsid w:val="0072764F"/>
    <w:rsid w:val="007478C9"/>
    <w:rsid w:val="007679DC"/>
    <w:rsid w:val="00785B26"/>
    <w:rsid w:val="007B2065"/>
    <w:rsid w:val="00816203"/>
    <w:rsid w:val="00820341"/>
    <w:rsid w:val="008309A2"/>
    <w:rsid w:val="00863092"/>
    <w:rsid w:val="008B3D5A"/>
    <w:rsid w:val="008C7E4F"/>
    <w:rsid w:val="00906118"/>
    <w:rsid w:val="0094122A"/>
    <w:rsid w:val="00987933"/>
    <w:rsid w:val="009A090C"/>
    <w:rsid w:val="00A00F0F"/>
    <w:rsid w:val="00A01604"/>
    <w:rsid w:val="00A140E0"/>
    <w:rsid w:val="00A526A5"/>
    <w:rsid w:val="00AA6D4D"/>
    <w:rsid w:val="00AD50D7"/>
    <w:rsid w:val="00B32B57"/>
    <w:rsid w:val="00BA5293"/>
    <w:rsid w:val="00BF2C09"/>
    <w:rsid w:val="00BF529E"/>
    <w:rsid w:val="00BF73F9"/>
    <w:rsid w:val="00C170B6"/>
    <w:rsid w:val="00C61D57"/>
    <w:rsid w:val="00CC172D"/>
    <w:rsid w:val="00CC1BAF"/>
    <w:rsid w:val="00CD26E4"/>
    <w:rsid w:val="00D06F81"/>
    <w:rsid w:val="00D5312D"/>
    <w:rsid w:val="00D76600"/>
    <w:rsid w:val="00D87DB2"/>
    <w:rsid w:val="00DB4CDD"/>
    <w:rsid w:val="00DC1F28"/>
    <w:rsid w:val="00E00D42"/>
    <w:rsid w:val="00E050F0"/>
    <w:rsid w:val="00E2681C"/>
    <w:rsid w:val="00E474E6"/>
    <w:rsid w:val="00E75915"/>
    <w:rsid w:val="00ED71D3"/>
    <w:rsid w:val="00EE0C86"/>
    <w:rsid w:val="00F16C73"/>
    <w:rsid w:val="00F71501"/>
    <w:rsid w:val="00F7321F"/>
    <w:rsid w:val="00F80A60"/>
    <w:rsid w:val="00F90B7D"/>
    <w:rsid w:val="00FE2E23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6D5DEF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6D5DE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Zaycev Mikhail</dc:creator>
  <cp:lastModifiedBy>Новая Варя</cp:lastModifiedBy>
  <cp:revision>5</cp:revision>
  <dcterms:created xsi:type="dcterms:W3CDTF">2017-09-14T08:17:00Z</dcterms:created>
  <dcterms:modified xsi:type="dcterms:W3CDTF">2017-09-21T08:53:00Z</dcterms:modified>
</cp:coreProperties>
</file>