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C2" w:rsidRDefault="009657C2" w:rsidP="009657C2">
      <w:pPr>
        <w:rPr>
          <w:rFonts w:ascii="Times New Roman" w:hAnsi="Times New Roman"/>
          <w:b/>
          <w:sz w:val="24"/>
          <w:szCs w:val="24"/>
        </w:rPr>
      </w:pPr>
      <w:r>
        <w:rPr>
          <w:rFonts w:ascii="Times New Roman" w:hAnsi="Times New Roman"/>
          <w:b/>
          <w:sz w:val="24"/>
          <w:szCs w:val="24"/>
        </w:rPr>
        <w:t xml:space="preserve">Фамилия переводчика </w:t>
      </w:r>
      <w:r>
        <w:rPr>
          <w:rFonts w:ascii="Times New Roman" w:hAnsi="Times New Roman"/>
          <w:b/>
          <w:sz w:val="24"/>
          <w:szCs w:val="24"/>
          <w:u w:val="single"/>
        </w:rPr>
        <w:t>_______________________________</w:t>
      </w:r>
    </w:p>
    <w:p w:rsidR="009657C2" w:rsidRPr="004571B6" w:rsidRDefault="009657C2" w:rsidP="009657C2">
      <w:pPr>
        <w:rPr>
          <w:rFonts w:ascii="Times New Roman" w:hAnsi="Times New Roman"/>
          <w:b/>
          <w:i/>
          <w:sz w:val="24"/>
          <w:szCs w:val="24"/>
        </w:rPr>
      </w:pPr>
      <w:r>
        <w:rPr>
          <w:rFonts w:ascii="Times New Roman" w:hAnsi="Times New Roman"/>
          <w:b/>
          <w:sz w:val="24"/>
          <w:szCs w:val="24"/>
        </w:rPr>
        <w:t xml:space="preserve">Направление перевода: </w:t>
      </w:r>
      <w:r>
        <w:rPr>
          <w:rFonts w:ascii="Times New Roman" w:hAnsi="Times New Roman"/>
          <w:i/>
          <w:sz w:val="24"/>
          <w:szCs w:val="24"/>
        </w:rPr>
        <w:t>русски</w:t>
      </w:r>
      <w:proofErr w:type="gramStart"/>
      <w:r>
        <w:rPr>
          <w:rFonts w:ascii="Times New Roman" w:hAnsi="Times New Roman"/>
          <w:i/>
          <w:sz w:val="24"/>
          <w:szCs w:val="24"/>
        </w:rPr>
        <w:t>й-</w:t>
      </w:r>
      <w:proofErr w:type="gramEnd"/>
      <w:r w:rsidRPr="009B1D7C">
        <w:rPr>
          <w:rFonts w:ascii="Times New Roman" w:hAnsi="Times New Roman"/>
          <w:i/>
          <w:sz w:val="24"/>
          <w:szCs w:val="24"/>
        </w:rPr>
        <w:t>&gt;</w:t>
      </w:r>
      <w:r>
        <w:rPr>
          <w:rFonts w:ascii="Times New Roman" w:hAnsi="Times New Roman"/>
          <w:i/>
          <w:sz w:val="24"/>
          <w:szCs w:val="24"/>
        </w:rPr>
        <w:t>английский</w:t>
      </w:r>
    </w:p>
    <w:p w:rsidR="009657C2" w:rsidRPr="004571B6" w:rsidRDefault="009657C2" w:rsidP="009657C2">
      <w:pPr>
        <w:rPr>
          <w:rStyle w:val="a3"/>
          <w:rFonts w:ascii="Times New Roman" w:hAnsi="Times New Roman"/>
          <w:bCs/>
          <w:sz w:val="24"/>
          <w:szCs w:val="24"/>
        </w:rPr>
      </w:pPr>
      <w:r w:rsidRPr="004571B6">
        <w:rPr>
          <w:rFonts w:ascii="Times New Roman" w:hAnsi="Times New Roman"/>
          <w:b/>
          <w:sz w:val="24"/>
          <w:szCs w:val="24"/>
        </w:rPr>
        <w:t>Предметная область:</w:t>
      </w:r>
      <w:r w:rsidRPr="004571B6">
        <w:rPr>
          <w:rStyle w:val="a3"/>
          <w:rFonts w:ascii="Times New Roman" w:hAnsi="Times New Roman"/>
          <w:bCs/>
          <w:i/>
          <w:sz w:val="24"/>
          <w:szCs w:val="24"/>
        </w:rPr>
        <w:t xml:space="preserve"> </w:t>
      </w:r>
      <w:r>
        <w:rPr>
          <w:rStyle w:val="a3"/>
          <w:rFonts w:ascii="Times New Roman" w:hAnsi="Times New Roman"/>
          <w:b w:val="0"/>
          <w:bCs/>
          <w:i/>
          <w:sz w:val="24"/>
          <w:szCs w:val="24"/>
        </w:rPr>
        <w:t>ИТ, ПО решение</w:t>
      </w:r>
      <w:bookmarkStart w:id="0" w:name="_GoBack"/>
      <w:bookmarkEnd w:id="0"/>
      <w:r>
        <w:rPr>
          <w:rStyle w:val="a3"/>
          <w:rFonts w:ascii="Times New Roman" w:hAnsi="Times New Roman"/>
          <w:b w:val="0"/>
          <w:bCs/>
          <w:i/>
          <w:sz w:val="24"/>
          <w:szCs w:val="24"/>
        </w:rPr>
        <w:t xml:space="preserve"> для бизнеса</w:t>
      </w:r>
    </w:p>
    <w:p w:rsidR="009657C2" w:rsidRDefault="009657C2" w:rsidP="00D84E54">
      <w:pPr>
        <w:spacing w:after="240"/>
        <w:rPr>
          <w:rFonts w:cs="Arial"/>
          <w:i/>
          <w:sz w:val="24"/>
          <w:szCs w:val="24"/>
        </w:rPr>
      </w:pPr>
    </w:p>
    <w:p w:rsidR="00B679F5" w:rsidRPr="00D7070A" w:rsidRDefault="00D84E54" w:rsidP="00D84E54">
      <w:pPr>
        <w:spacing w:after="240"/>
        <w:rPr>
          <w:rFonts w:cs="Arial"/>
          <w:i/>
          <w:sz w:val="24"/>
          <w:szCs w:val="24"/>
        </w:rPr>
      </w:pPr>
      <w:r w:rsidRPr="00D84E54">
        <w:rPr>
          <w:rFonts w:cs="Arial"/>
          <w:i/>
          <w:sz w:val="24"/>
          <w:szCs w:val="24"/>
        </w:rPr>
        <w:t xml:space="preserve">Введите перевод в соответствующий столбец. </w:t>
      </w:r>
    </w:p>
    <w:p w:rsidR="00211C2D" w:rsidRPr="00211C2D" w:rsidRDefault="00D84E54" w:rsidP="00D84E54">
      <w:pPr>
        <w:spacing w:after="240"/>
        <w:rPr>
          <w:rFonts w:cs="Arial"/>
          <w:i/>
          <w:sz w:val="24"/>
          <w:szCs w:val="24"/>
        </w:rPr>
      </w:pPr>
      <w:r w:rsidRPr="00D84E54">
        <w:rPr>
          <w:rFonts w:cs="Arial"/>
          <w:i/>
          <w:sz w:val="24"/>
          <w:szCs w:val="24"/>
        </w:rPr>
        <w:t>Символы XXX</w:t>
      </w:r>
      <w:r w:rsidRPr="00D7070A">
        <w:rPr>
          <w:rFonts w:cs="Arial"/>
          <w:i/>
          <w:sz w:val="24"/>
          <w:szCs w:val="24"/>
        </w:rPr>
        <w:t xml:space="preserve">, </w:t>
      </w:r>
      <w:r>
        <w:rPr>
          <w:rFonts w:cs="Arial"/>
          <w:i/>
          <w:sz w:val="24"/>
          <w:szCs w:val="24"/>
          <w:lang w:val="en-US"/>
        </w:rPr>
        <w:t>YYY</w:t>
      </w:r>
      <w:r>
        <w:rPr>
          <w:rFonts w:cs="Arial"/>
          <w:i/>
          <w:sz w:val="24"/>
          <w:szCs w:val="24"/>
        </w:rPr>
        <w:t xml:space="preserve"> и т. д.</w:t>
      </w:r>
      <w:r w:rsidRPr="00D84E54">
        <w:rPr>
          <w:rFonts w:cs="Arial"/>
          <w:i/>
          <w:sz w:val="24"/>
          <w:szCs w:val="24"/>
        </w:rPr>
        <w:t xml:space="preserve"> заменяют отдельные названия и не нуждаются в переводе.</w:t>
      </w:r>
    </w:p>
    <w:tbl>
      <w:tblPr>
        <w:tblW w:w="9255"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1"/>
        <w:gridCol w:w="3589"/>
        <w:gridCol w:w="2395"/>
      </w:tblGrid>
      <w:tr w:rsidR="00B679F5" w:rsidRPr="00D84E54" w:rsidTr="00B679F5">
        <w:trPr>
          <w:trHeight w:val="20"/>
        </w:trPr>
        <w:tc>
          <w:tcPr>
            <w:tcW w:w="3271" w:type="dxa"/>
            <w:shd w:val="clear" w:color="auto" w:fill="auto"/>
            <w:hideMark/>
          </w:tcPr>
          <w:p w:rsidR="00B679F5" w:rsidRPr="00D84E54" w:rsidRDefault="00B679F5" w:rsidP="00A014B6">
            <w:pPr>
              <w:rPr>
                <w:rFonts w:eastAsia="Times New Roman" w:cs="Arial"/>
                <w:b/>
                <w:color w:val="000000"/>
                <w:sz w:val="24"/>
                <w:szCs w:val="24"/>
                <w:lang w:eastAsia="ru-RU"/>
              </w:rPr>
            </w:pPr>
            <w:r w:rsidRPr="00D84E54">
              <w:rPr>
                <w:rFonts w:eastAsia="Times New Roman" w:cs="Arial"/>
                <w:b/>
                <w:color w:val="000000"/>
                <w:sz w:val="24"/>
                <w:szCs w:val="24"/>
                <w:lang w:eastAsia="ru-RU"/>
              </w:rPr>
              <w:t>Оригинал</w:t>
            </w:r>
          </w:p>
        </w:tc>
        <w:tc>
          <w:tcPr>
            <w:tcW w:w="3589" w:type="dxa"/>
          </w:tcPr>
          <w:p w:rsidR="00B679F5" w:rsidRPr="00D84E54" w:rsidRDefault="00B679F5" w:rsidP="00A014B6">
            <w:pPr>
              <w:rPr>
                <w:rFonts w:eastAsia="Times New Roman" w:cs="Arial"/>
                <w:b/>
                <w:color w:val="000000"/>
                <w:sz w:val="24"/>
                <w:szCs w:val="24"/>
                <w:lang w:eastAsia="ru-RU"/>
              </w:rPr>
            </w:pPr>
            <w:r w:rsidRPr="00D84E54">
              <w:rPr>
                <w:rFonts w:eastAsia="Times New Roman" w:cs="Arial"/>
                <w:b/>
                <w:color w:val="000000"/>
                <w:sz w:val="24"/>
                <w:szCs w:val="24"/>
                <w:lang w:eastAsia="ru-RU"/>
              </w:rPr>
              <w:t>Перевод</w:t>
            </w:r>
          </w:p>
        </w:tc>
        <w:tc>
          <w:tcPr>
            <w:tcW w:w="2395" w:type="dxa"/>
          </w:tcPr>
          <w:p w:rsidR="00B679F5" w:rsidRPr="00D84E54" w:rsidRDefault="00B679F5" w:rsidP="00A014B6">
            <w:pPr>
              <w:rPr>
                <w:rFonts w:eastAsia="Times New Roman" w:cs="Arial"/>
                <w:b/>
                <w:color w:val="000000"/>
                <w:sz w:val="24"/>
                <w:szCs w:val="24"/>
                <w:lang w:eastAsia="ru-RU"/>
              </w:rPr>
            </w:pPr>
            <w:r w:rsidRPr="00D84E54">
              <w:rPr>
                <w:rFonts w:eastAsia="Times New Roman" w:cs="Arial"/>
                <w:b/>
                <w:color w:val="000000"/>
                <w:sz w:val="24"/>
                <w:szCs w:val="24"/>
                <w:lang w:eastAsia="ru-RU"/>
              </w:rPr>
              <w:t>Комментарий</w:t>
            </w:r>
            <w:r w:rsidR="00D84E54">
              <w:rPr>
                <w:rFonts w:eastAsia="Times New Roman" w:cs="Arial"/>
                <w:b/>
                <w:color w:val="000000"/>
                <w:sz w:val="24"/>
                <w:szCs w:val="24"/>
                <w:lang w:eastAsia="ru-RU"/>
              </w:rPr>
              <w:t xml:space="preserve"> </w:t>
            </w:r>
            <w:r w:rsidR="00D84E54" w:rsidRPr="00D84E54">
              <w:rPr>
                <w:rFonts w:eastAsia="Times New Roman" w:cs="Arial"/>
                <w:color w:val="000000"/>
                <w:sz w:val="24"/>
                <w:szCs w:val="24"/>
                <w:lang w:eastAsia="ru-RU"/>
              </w:rPr>
              <w:t>(при необходимости)</w:t>
            </w:r>
          </w:p>
        </w:tc>
      </w:tr>
      <w:tr w:rsidR="00D7070A" w:rsidRPr="00D84E54" w:rsidTr="00D7070A">
        <w:trPr>
          <w:trHeight w:val="20"/>
        </w:trPr>
        <w:tc>
          <w:tcPr>
            <w:tcW w:w="3271" w:type="dxa"/>
            <w:shd w:val="clear" w:color="auto" w:fill="auto"/>
          </w:tcPr>
          <w:p w:rsidR="00D7070A" w:rsidRPr="00D00ADF" w:rsidRDefault="00D7070A" w:rsidP="00573D4E">
            <w:pPr>
              <w:rPr>
                <w:rFonts w:asciiTheme="minorHAnsi" w:hAnsiTheme="minorHAnsi" w:cs="Arial"/>
                <w:color w:val="000000"/>
                <w:sz w:val="22"/>
              </w:rPr>
            </w:pPr>
            <w:r w:rsidRPr="00D00ADF">
              <w:rPr>
                <w:rFonts w:asciiTheme="minorHAnsi" w:hAnsiTheme="minorHAnsi" w:cs="Arial"/>
                <w:color w:val="000000"/>
                <w:sz w:val="22"/>
              </w:rPr>
              <w:t>Если для проведения отчетной инвентаризации процессы на складе останавливаются, то перед началом проведения инвентаризации необходимо убедиться в отсутствии в системе YYY открытых (созданных, но не выполненных) задач. Все созданные задачи перед началом инвентаризации должны быть либо выполнены, либо сторнированы.</w:t>
            </w:r>
          </w:p>
        </w:tc>
        <w:tc>
          <w:tcPr>
            <w:tcW w:w="3589" w:type="dxa"/>
          </w:tcPr>
          <w:p w:rsidR="00D7070A" w:rsidRPr="00D84E54" w:rsidRDefault="00D7070A" w:rsidP="00A014B6">
            <w:pPr>
              <w:rPr>
                <w:rFonts w:eastAsia="Times New Roman" w:cs="Arial"/>
                <w:color w:val="000000"/>
                <w:sz w:val="24"/>
                <w:szCs w:val="24"/>
                <w:lang w:eastAsia="ru-RU"/>
              </w:rPr>
            </w:pPr>
          </w:p>
        </w:tc>
        <w:tc>
          <w:tcPr>
            <w:tcW w:w="2395" w:type="dxa"/>
          </w:tcPr>
          <w:p w:rsidR="00D7070A" w:rsidRPr="00D84E54" w:rsidRDefault="00D7070A" w:rsidP="00A014B6">
            <w:pPr>
              <w:rPr>
                <w:rFonts w:eastAsia="Times New Roman" w:cs="Arial"/>
                <w:color w:val="000000"/>
                <w:sz w:val="24"/>
                <w:szCs w:val="24"/>
                <w:lang w:eastAsia="ru-RU"/>
              </w:rPr>
            </w:pPr>
          </w:p>
        </w:tc>
      </w:tr>
      <w:tr w:rsidR="00D7070A" w:rsidRPr="00D84E54" w:rsidTr="00D7070A">
        <w:trPr>
          <w:trHeight w:val="20"/>
        </w:trPr>
        <w:tc>
          <w:tcPr>
            <w:tcW w:w="3271" w:type="dxa"/>
            <w:shd w:val="clear" w:color="auto" w:fill="auto"/>
          </w:tcPr>
          <w:p w:rsidR="00D7070A" w:rsidRPr="00D00ADF" w:rsidRDefault="00D7070A" w:rsidP="00573D4E">
            <w:pPr>
              <w:rPr>
                <w:rFonts w:asciiTheme="minorHAnsi" w:hAnsiTheme="minorHAnsi" w:cs="Arial"/>
                <w:color w:val="000000"/>
                <w:sz w:val="22"/>
              </w:rPr>
            </w:pPr>
            <w:r w:rsidRPr="00D00ADF">
              <w:rPr>
                <w:rFonts w:asciiTheme="minorHAnsi" w:hAnsiTheme="minorHAnsi" w:cs="Arial"/>
                <w:color w:val="000000"/>
                <w:sz w:val="22"/>
              </w:rPr>
              <w:t>При наличии задач в статусе «в обработке» их следует завершить. Для этого обрабатывается исключение процесса «Подтверждение открытых задач».</w:t>
            </w:r>
          </w:p>
        </w:tc>
        <w:tc>
          <w:tcPr>
            <w:tcW w:w="3589" w:type="dxa"/>
          </w:tcPr>
          <w:p w:rsidR="00D7070A" w:rsidRPr="00D84E54" w:rsidRDefault="00D7070A" w:rsidP="00A014B6">
            <w:pPr>
              <w:rPr>
                <w:rFonts w:eastAsia="Times New Roman" w:cs="Arial"/>
                <w:color w:val="000000"/>
                <w:sz w:val="24"/>
                <w:szCs w:val="24"/>
                <w:lang w:eastAsia="ru-RU"/>
              </w:rPr>
            </w:pPr>
          </w:p>
        </w:tc>
        <w:tc>
          <w:tcPr>
            <w:tcW w:w="2395" w:type="dxa"/>
          </w:tcPr>
          <w:p w:rsidR="00D7070A" w:rsidRPr="00D84E54" w:rsidRDefault="00D7070A" w:rsidP="00A014B6">
            <w:pPr>
              <w:rPr>
                <w:rFonts w:eastAsia="Times New Roman" w:cs="Arial"/>
                <w:color w:val="000000"/>
                <w:sz w:val="24"/>
                <w:szCs w:val="24"/>
                <w:lang w:eastAsia="ru-RU"/>
              </w:rPr>
            </w:pPr>
          </w:p>
        </w:tc>
      </w:tr>
      <w:tr w:rsidR="00D7070A" w:rsidRPr="00D84E54" w:rsidTr="00D7070A">
        <w:trPr>
          <w:trHeight w:val="20"/>
        </w:trPr>
        <w:tc>
          <w:tcPr>
            <w:tcW w:w="3271" w:type="dxa"/>
            <w:shd w:val="clear" w:color="auto" w:fill="auto"/>
          </w:tcPr>
          <w:p w:rsidR="00D7070A" w:rsidRPr="00D00ADF" w:rsidRDefault="00D7070A" w:rsidP="00573D4E">
            <w:pPr>
              <w:rPr>
                <w:rFonts w:asciiTheme="minorHAnsi" w:hAnsiTheme="minorHAnsi" w:cs="Arial"/>
                <w:color w:val="000000"/>
                <w:sz w:val="22"/>
              </w:rPr>
            </w:pPr>
            <w:r w:rsidRPr="00D00ADF">
              <w:rPr>
                <w:rFonts w:asciiTheme="minorHAnsi" w:hAnsiTheme="minorHAnsi" w:cs="Arial"/>
                <w:color w:val="000000"/>
                <w:sz w:val="22"/>
              </w:rPr>
              <w:t>При наличии задач в статусе «открыто» начальник смены или специали</w:t>
            </w:r>
            <w:proofErr w:type="gramStart"/>
            <w:r w:rsidRPr="00D00ADF">
              <w:rPr>
                <w:rFonts w:asciiTheme="minorHAnsi" w:hAnsiTheme="minorHAnsi" w:cs="Arial"/>
                <w:color w:val="000000"/>
                <w:sz w:val="22"/>
              </w:rPr>
              <w:t>ст скл</w:t>
            </w:r>
            <w:proofErr w:type="gramEnd"/>
            <w:r w:rsidRPr="00D00ADF">
              <w:rPr>
                <w:rFonts w:asciiTheme="minorHAnsi" w:hAnsiTheme="minorHAnsi" w:cs="Arial"/>
                <w:color w:val="000000"/>
                <w:sz w:val="22"/>
              </w:rPr>
              <w:t>адского хозяйства принимает решение о том, что с ними следует сделать. Если необходимо выполнить такие задачи до проведения инвентаризации, то выполняется обработка исключения процесса «Подтверждение открытых задач». Если задачи выполнять не нужно, то выполняется обработка исключения процесса «Сторнирование открытых задач».</w:t>
            </w:r>
          </w:p>
        </w:tc>
        <w:tc>
          <w:tcPr>
            <w:tcW w:w="3589" w:type="dxa"/>
          </w:tcPr>
          <w:p w:rsidR="00D7070A" w:rsidRPr="00D84E54" w:rsidRDefault="00D7070A" w:rsidP="00A014B6">
            <w:pPr>
              <w:rPr>
                <w:rFonts w:eastAsia="Times New Roman" w:cs="Arial"/>
                <w:color w:val="000000"/>
                <w:sz w:val="24"/>
                <w:szCs w:val="24"/>
                <w:lang w:eastAsia="ru-RU"/>
              </w:rPr>
            </w:pPr>
          </w:p>
        </w:tc>
        <w:tc>
          <w:tcPr>
            <w:tcW w:w="2395" w:type="dxa"/>
          </w:tcPr>
          <w:p w:rsidR="00D7070A" w:rsidRPr="00D84E54" w:rsidRDefault="00D7070A" w:rsidP="00A014B6">
            <w:pPr>
              <w:rPr>
                <w:rFonts w:eastAsia="Times New Roman" w:cs="Arial"/>
                <w:color w:val="000000"/>
                <w:sz w:val="24"/>
                <w:szCs w:val="24"/>
                <w:lang w:eastAsia="ru-RU"/>
              </w:rPr>
            </w:pPr>
          </w:p>
        </w:tc>
      </w:tr>
      <w:tr w:rsidR="00D7070A" w:rsidRPr="00D84E54" w:rsidTr="00D7070A">
        <w:trPr>
          <w:trHeight w:val="20"/>
        </w:trPr>
        <w:tc>
          <w:tcPr>
            <w:tcW w:w="3271" w:type="dxa"/>
            <w:shd w:val="clear" w:color="auto" w:fill="auto"/>
          </w:tcPr>
          <w:p w:rsidR="00D7070A" w:rsidRPr="00D00ADF" w:rsidRDefault="00D7070A" w:rsidP="00573D4E">
            <w:pPr>
              <w:rPr>
                <w:rFonts w:asciiTheme="minorHAnsi" w:hAnsiTheme="minorHAnsi" w:cs="Arial"/>
                <w:color w:val="000000"/>
                <w:sz w:val="22"/>
              </w:rPr>
            </w:pPr>
            <w:r w:rsidRPr="00D00ADF">
              <w:rPr>
                <w:rFonts w:asciiTheme="minorHAnsi" w:hAnsiTheme="minorHAnsi" w:cs="Arial"/>
                <w:color w:val="000000"/>
                <w:sz w:val="22"/>
              </w:rPr>
              <w:t xml:space="preserve">При наличии блокированных задач они обрабатываются аналогично открытым, с тем отличием, что при </w:t>
            </w:r>
            <w:r w:rsidRPr="00D00ADF">
              <w:rPr>
                <w:rFonts w:asciiTheme="minorHAnsi" w:hAnsiTheme="minorHAnsi" w:cs="Arial"/>
                <w:color w:val="000000"/>
                <w:sz w:val="22"/>
              </w:rPr>
              <w:lastRenderedPageBreak/>
              <w:t xml:space="preserve">необходимости их выполнения они предварительно </w:t>
            </w:r>
            <w:proofErr w:type="spellStart"/>
            <w:r w:rsidRPr="00D00ADF">
              <w:rPr>
                <w:rFonts w:asciiTheme="minorHAnsi" w:hAnsiTheme="minorHAnsi" w:cs="Arial"/>
                <w:color w:val="000000"/>
                <w:sz w:val="22"/>
              </w:rPr>
              <w:t>разблокируются</w:t>
            </w:r>
            <w:proofErr w:type="spellEnd"/>
            <w:r w:rsidRPr="00D00ADF">
              <w:rPr>
                <w:rFonts w:asciiTheme="minorHAnsi" w:hAnsiTheme="minorHAnsi" w:cs="Arial"/>
                <w:color w:val="000000"/>
                <w:sz w:val="22"/>
              </w:rPr>
              <w:t xml:space="preserve"> для возможности выполнения.</w:t>
            </w:r>
          </w:p>
        </w:tc>
        <w:tc>
          <w:tcPr>
            <w:tcW w:w="3589" w:type="dxa"/>
          </w:tcPr>
          <w:p w:rsidR="00D7070A" w:rsidRPr="00D84E54" w:rsidRDefault="00D7070A" w:rsidP="001958A5">
            <w:pPr>
              <w:rPr>
                <w:rFonts w:eastAsia="Times New Roman" w:cs="Arial"/>
                <w:color w:val="000000"/>
                <w:sz w:val="24"/>
                <w:szCs w:val="24"/>
                <w:lang w:eastAsia="ru-RU"/>
              </w:rPr>
            </w:pPr>
          </w:p>
        </w:tc>
        <w:tc>
          <w:tcPr>
            <w:tcW w:w="2395" w:type="dxa"/>
          </w:tcPr>
          <w:p w:rsidR="00D7070A" w:rsidRPr="00D84E54" w:rsidRDefault="00D7070A" w:rsidP="001958A5">
            <w:pPr>
              <w:rPr>
                <w:rFonts w:eastAsia="Times New Roman" w:cs="Arial"/>
                <w:color w:val="000000"/>
                <w:sz w:val="24"/>
                <w:szCs w:val="24"/>
                <w:lang w:eastAsia="ru-RU"/>
              </w:rPr>
            </w:pPr>
          </w:p>
        </w:tc>
      </w:tr>
      <w:tr w:rsidR="00D7070A" w:rsidRPr="00D84E54" w:rsidTr="00D7070A">
        <w:trPr>
          <w:trHeight w:val="20"/>
        </w:trPr>
        <w:tc>
          <w:tcPr>
            <w:tcW w:w="3271" w:type="dxa"/>
            <w:shd w:val="clear" w:color="auto" w:fill="auto"/>
          </w:tcPr>
          <w:p w:rsidR="00D7070A" w:rsidRPr="00D84E54" w:rsidRDefault="00D7070A" w:rsidP="009F1B5D">
            <w:pPr>
              <w:rPr>
                <w:rFonts w:eastAsia="Times New Roman" w:cs="Arial"/>
                <w:color w:val="000000"/>
                <w:sz w:val="24"/>
                <w:szCs w:val="24"/>
                <w:lang w:eastAsia="ru-RU"/>
              </w:rPr>
            </w:pPr>
          </w:p>
        </w:tc>
        <w:tc>
          <w:tcPr>
            <w:tcW w:w="3589" w:type="dxa"/>
          </w:tcPr>
          <w:p w:rsidR="00D7070A" w:rsidRPr="00D84E54" w:rsidRDefault="00D7070A" w:rsidP="00A014B6">
            <w:pPr>
              <w:rPr>
                <w:rFonts w:eastAsia="Times New Roman" w:cs="Arial"/>
                <w:color w:val="000000"/>
                <w:sz w:val="24"/>
                <w:szCs w:val="24"/>
                <w:lang w:eastAsia="ru-RU"/>
              </w:rPr>
            </w:pPr>
          </w:p>
        </w:tc>
        <w:tc>
          <w:tcPr>
            <w:tcW w:w="2395" w:type="dxa"/>
          </w:tcPr>
          <w:p w:rsidR="00D7070A" w:rsidRPr="00D84E54" w:rsidRDefault="00D7070A" w:rsidP="00A014B6">
            <w:pPr>
              <w:rPr>
                <w:rFonts w:eastAsia="Times New Roman" w:cs="Arial"/>
                <w:color w:val="000000"/>
                <w:sz w:val="24"/>
                <w:szCs w:val="24"/>
                <w:lang w:eastAsia="ru-RU"/>
              </w:rPr>
            </w:pPr>
          </w:p>
        </w:tc>
      </w:tr>
      <w:tr w:rsidR="00586058" w:rsidRPr="00D84E54" w:rsidTr="00D7070A">
        <w:trPr>
          <w:trHeight w:val="20"/>
        </w:trPr>
        <w:tc>
          <w:tcPr>
            <w:tcW w:w="3271" w:type="dxa"/>
            <w:shd w:val="clear" w:color="auto" w:fill="auto"/>
          </w:tcPr>
          <w:p w:rsidR="00586058" w:rsidRPr="00D00ADF" w:rsidRDefault="00586058" w:rsidP="00573D4E">
            <w:pPr>
              <w:rPr>
                <w:rFonts w:asciiTheme="minorHAnsi" w:hAnsiTheme="minorHAnsi" w:cs="Times New Roman"/>
                <w:sz w:val="22"/>
              </w:rPr>
            </w:pPr>
            <w:r w:rsidRPr="00D00ADF">
              <w:rPr>
                <w:rFonts w:asciiTheme="minorHAnsi" w:hAnsiTheme="minorHAnsi"/>
                <w:sz w:val="22"/>
              </w:rPr>
              <w:t>В процессе обработки входящего сообщения, поступившего из YYY в Систему</w:t>
            </w:r>
            <w:proofErr w:type="gramStart"/>
            <w:r w:rsidRPr="00D00ADF">
              <w:rPr>
                <w:rFonts w:asciiTheme="minorHAnsi" w:hAnsiTheme="minorHAnsi"/>
                <w:sz w:val="22"/>
              </w:rPr>
              <w:t xml:space="preserve"> А</w:t>
            </w:r>
            <w:proofErr w:type="gramEnd"/>
            <w:r w:rsidRPr="00D00ADF">
              <w:rPr>
                <w:rFonts w:asciiTheme="minorHAnsi" w:hAnsiTheme="minorHAnsi"/>
                <w:sz w:val="22"/>
              </w:rPr>
              <w:t>, необходимо осуществить ряд проверок (см. документ «Описание правил ИБ», создаваемый на этапе рабочего проектирования Системы А и согласующийся отдельно), которые реализуются за счет обращения к Криптографической подсистеме ABC (далее криптосистема). Для осуществления такого обращения, необходимо иметь соединение (далее сеанс) между Системой</w:t>
            </w:r>
            <w:proofErr w:type="gramStart"/>
            <w:r w:rsidRPr="00D00ADF">
              <w:rPr>
                <w:rFonts w:asciiTheme="minorHAnsi" w:hAnsiTheme="minorHAnsi"/>
                <w:sz w:val="22"/>
              </w:rPr>
              <w:t xml:space="preserve"> А</w:t>
            </w:r>
            <w:proofErr w:type="gramEnd"/>
            <w:r w:rsidRPr="00D00ADF">
              <w:rPr>
                <w:rFonts w:asciiTheme="minorHAnsi" w:hAnsiTheme="minorHAnsi"/>
                <w:sz w:val="22"/>
              </w:rPr>
              <w:t xml:space="preserve"> и кластером криптосистемы. Набор параметров для установки сеанса приведен в разделе 2.3 Параметры инициализации </w:t>
            </w:r>
            <w:proofErr w:type="spellStart"/>
            <w:r w:rsidRPr="00D00ADF">
              <w:rPr>
                <w:rFonts w:asciiTheme="minorHAnsi" w:hAnsiTheme="minorHAnsi"/>
                <w:sz w:val="22"/>
              </w:rPr>
              <w:t>криптосесии</w:t>
            </w:r>
            <w:proofErr w:type="spellEnd"/>
            <w:r w:rsidRPr="00D00ADF">
              <w:rPr>
                <w:rFonts w:asciiTheme="minorHAnsi" w:hAnsiTheme="minorHAnsi"/>
                <w:sz w:val="22"/>
              </w:rPr>
              <w:t>.</w:t>
            </w:r>
          </w:p>
        </w:tc>
        <w:tc>
          <w:tcPr>
            <w:tcW w:w="3589" w:type="dxa"/>
          </w:tcPr>
          <w:p w:rsidR="00586058" w:rsidRPr="00D7070A" w:rsidRDefault="00586058" w:rsidP="00A014B6">
            <w:pPr>
              <w:rPr>
                <w:rFonts w:eastAsia="Times New Roman" w:cs="Arial"/>
                <w:color w:val="000000"/>
                <w:sz w:val="24"/>
                <w:szCs w:val="24"/>
                <w:lang w:eastAsia="ru-RU"/>
              </w:rPr>
            </w:pPr>
          </w:p>
        </w:tc>
        <w:tc>
          <w:tcPr>
            <w:tcW w:w="2395" w:type="dxa"/>
          </w:tcPr>
          <w:p w:rsidR="00586058" w:rsidRPr="00D7070A" w:rsidRDefault="00586058" w:rsidP="00A014B6">
            <w:pPr>
              <w:rPr>
                <w:rFonts w:eastAsia="Times New Roman" w:cs="Arial"/>
                <w:color w:val="000000"/>
                <w:sz w:val="24"/>
                <w:szCs w:val="24"/>
                <w:lang w:eastAsia="ru-RU"/>
              </w:rPr>
            </w:pPr>
          </w:p>
        </w:tc>
      </w:tr>
      <w:tr w:rsidR="00586058" w:rsidRPr="00D84E54" w:rsidTr="00D7070A">
        <w:trPr>
          <w:trHeight w:val="20"/>
        </w:trPr>
        <w:tc>
          <w:tcPr>
            <w:tcW w:w="3271" w:type="dxa"/>
            <w:shd w:val="clear" w:color="auto" w:fill="auto"/>
          </w:tcPr>
          <w:p w:rsidR="00586058" w:rsidRPr="00D00ADF" w:rsidRDefault="00586058" w:rsidP="00573D4E">
            <w:pPr>
              <w:spacing w:before="120"/>
              <w:rPr>
                <w:rFonts w:asciiTheme="minorHAnsi" w:hAnsiTheme="minorHAnsi" w:cs="Times New Roman"/>
                <w:sz w:val="22"/>
              </w:rPr>
            </w:pPr>
            <w:r w:rsidRPr="00D00ADF">
              <w:rPr>
                <w:rFonts w:asciiTheme="minorHAnsi" w:hAnsiTheme="minorHAnsi"/>
                <w:sz w:val="22"/>
              </w:rPr>
              <w:t>Система использует модель системных типов с использованием сущности «Тип счета», атрибуты которой позволяют настроить множество аспектов поведения системной обработки.</w:t>
            </w:r>
          </w:p>
        </w:tc>
        <w:tc>
          <w:tcPr>
            <w:tcW w:w="3589" w:type="dxa"/>
          </w:tcPr>
          <w:p w:rsidR="00586058" w:rsidRPr="00D84E54" w:rsidRDefault="00586058" w:rsidP="00A014B6">
            <w:pPr>
              <w:rPr>
                <w:rFonts w:eastAsia="Times New Roman" w:cs="Arial"/>
                <w:color w:val="000000"/>
                <w:sz w:val="24"/>
                <w:szCs w:val="24"/>
                <w:lang w:eastAsia="ru-RU"/>
              </w:rPr>
            </w:pPr>
          </w:p>
        </w:tc>
        <w:tc>
          <w:tcPr>
            <w:tcW w:w="2395" w:type="dxa"/>
          </w:tcPr>
          <w:p w:rsidR="00586058" w:rsidRPr="00D84E54" w:rsidRDefault="00586058" w:rsidP="00A014B6">
            <w:pPr>
              <w:rPr>
                <w:rFonts w:eastAsia="Times New Roman" w:cs="Arial"/>
                <w:color w:val="000000"/>
                <w:sz w:val="24"/>
                <w:szCs w:val="24"/>
                <w:lang w:eastAsia="ru-RU"/>
              </w:rPr>
            </w:pPr>
          </w:p>
        </w:tc>
      </w:tr>
      <w:tr w:rsidR="00586058" w:rsidRPr="00D84E54" w:rsidTr="00D7070A">
        <w:trPr>
          <w:trHeight w:val="20"/>
        </w:trPr>
        <w:tc>
          <w:tcPr>
            <w:tcW w:w="3271" w:type="dxa"/>
            <w:shd w:val="clear" w:color="auto" w:fill="auto"/>
          </w:tcPr>
          <w:p w:rsidR="00586058" w:rsidRPr="00D00ADF" w:rsidRDefault="00586058" w:rsidP="00573D4E">
            <w:pPr>
              <w:spacing w:before="120"/>
              <w:rPr>
                <w:rFonts w:asciiTheme="minorHAnsi" w:hAnsiTheme="minorHAnsi" w:cs="Times New Roman"/>
                <w:sz w:val="22"/>
              </w:rPr>
            </w:pPr>
            <w:r w:rsidRPr="00D00ADF">
              <w:rPr>
                <w:rFonts w:asciiTheme="minorHAnsi" w:hAnsiTheme="minorHAnsi"/>
                <w:sz w:val="22"/>
              </w:rPr>
              <w:t>Тип счета, ассоциированный со счетом, может быть изменен, однако такое изменение подвержено некоторым ограничениям. В частности, определенные атрибуты типа счета должны иметь одни и те же значения как в “старом” типе счета, так и в “новом”, чтобы такое изменение было разрешено Системой.</w:t>
            </w:r>
          </w:p>
        </w:tc>
        <w:tc>
          <w:tcPr>
            <w:tcW w:w="3589" w:type="dxa"/>
          </w:tcPr>
          <w:p w:rsidR="00586058" w:rsidRPr="00D84E54" w:rsidRDefault="00586058" w:rsidP="00A014B6">
            <w:pPr>
              <w:rPr>
                <w:rFonts w:eastAsia="Times New Roman" w:cs="Arial"/>
                <w:color w:val="000000"/>
                <w:sz w:val="24"/>
                <w:szCs w:val="24"/>
                <w:lang w:eastAsia="ru-RU"/>
              </w:rPr>
            </w:pPr>
          </w:p>
        </w:tc>
        <w:tc>
          <w:tcPr>
            <w:tcW w:w="2395" w:type="dxa"/>
          </w:tcPr>
          <w:p w:rsidR="00586058" w:rsidRPr="00D84E54" w:rsidRDefault="00586058" w:rsidP="00A014B6">
            <w:pPr>
              <w:rPr>
                <w:rFonts w:eastAsia="Times New Roman" w:cs="Arial"/>
                <w:color w:val="000000"/>
                <w:sz w:val="24"/>
                <w:szCs w:val="24"/>
                <w:lang w:eastAsia="ru-RU"/>
              </w:rPr>
            </w:pPr>
          </w:p>
        </w:tc>
      </w:tr>
    </w:tbl>
    <w:p w:rsidR="001E2FC9" w:rsidRPr="00D84E54" w:rsidRDefault="001E2FC9">
      <w:pPr>
        <w:rPr>
          <w:rFonts w:cs="Arial"/>
          <w:sz w:val="24"/>
          <w:szCs w:val="24"/>
        </w:rPr>
      </w:pPr>
    </w:p>
    <w:sectPr w:rsidR="001E2FC9" w:rsidRPr="00D84E54" w:rsidSect="00F05C4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B6"/>
    <w:rsid w:val="001958A5"/>
    <w:rsid w:val="001E2FC9"/>
    <w:rsid w:val="00211C2D"/>
    <w:rsid w:val="0045536D"/>
    <w:rsid w:val="004C27C7"/>
    <w:rsid w:val="0054452C"/>
    <w:rsid w:val="00586058"/>
    <w:rsid w:val="007301D8"/>
    <w:rsid w:val="009657C2"/>
    <w:rsid w:val="009D7171"/>
    <w:rsid w:val="009F1B5D"/>
    <w:rsid w:val="00A014B6"/>
    <w:rsid w:val="00B679F5"/>
    <w:rsid w:val="00D7070A"/>
    <w:rsid w:val="00D84E54"/>
    <w:rsid w:val="00F05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657C2"/>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9657C2"/>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58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Panekeramires Alice</dc:creator>
  <cp:lastModifiedBy>Новая Варя</cp:lastModifiedBy>
  <cp:revision>6</cp:revision>
  <dcterms:created xsi:type="dcterms:W3CDTF">2017-05-24T14:10:00Z</dcterms:created>
  <dcterms:modified xsi:type="dcterms:W3CDTF">2017-05-24T20:34:00Z</dcterms:modified>
</cp:coreProperties>
</file>